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83" w:rsidRPr="009C4164" w:rsidRDefault="009C4164">
      <w:pPr>
        <w:jc w:val="right"/>
        <w:rPr>
          <w:sz w:val="20"/>
          <w:szCs w:val="20"/>
          <w:lang w:val="ru-RU"/>
        </w:rPr>
      </w:pPr>
      <w:r w:rsidRPr="009C4164">
        <w:rPr>
          <w:sz w:val="20"/>
          <w:szCs w:val="20"/>
          <w:lang w:val="ru-RU"/>
        </w:rPr>
        <w:t>Соколова Марія</w:t>
      </w:r>
    </w:p>
    <w:p w:rsidR="00BA7A83" w:rsidRPr="009C4164" w:rsidRDefault="009C4164">
      <w:pPr>
        <w:jc w:val="right"/>
        <w:rPr>
          <w:sz w:val="20"/>
          <w:szCs w:val="20"/>
          <w:lang w:val="ru-RU"/>
        </w:rPr>
      </w:pPr>
      <w:r w:rsidRPr="009C4164">
        <w:rPr>
          <w:sz w:val="20"/>
          <w:szCs w:val="20"/>
          <w:lang w:val="ru-RU"/>
        </w:rPr>
        <w:t>Баглай Сергій</w:t>
      </w:r>
    </w:p>
    <w:p w:rsidR="00BA7A83" w:rsidRPr="009C4164" w:rsidRDefault="009C4164">
      <w:pPr>
        <w:jc w:val="right"/>
        <w:rPr>
          <w:sz w:val="20"/>
          <w:szCs w:val="20"/>
          <w:lang w:val="ru-RU"/>
        </w:rPr>
      </w:pPr>
      <w:r w:rsidRPr="009C4164">
        <w:rPr>
          <w:sz w:val="20"/>
          <w:szCs w:val="20"/>
          <w:lang w:val="ru-RU"/>
        </w:rPr>
        <w:t>Янковська Ірина</w:t>
      </w:r>
    </w:p>
    <w:p w:rsidR="00BA7A83" w:rsidRPr="009C4164" w:rsidRDefault="00BA7A83">
      <w:pPr>
        <w:jc w:val="both"/>
        <w:rPr>
          <w:b/>
          <w:sz w:val="20"/>
          <w:szCs w:val="20"/>
          <w:lang w:val="ru-RU"/>
        </w:rPr>
      </w:pPr>
    </w:p>
    <w:p w:rsidR="00BA7A83" w:rsidRPr="009C4164" w:rsidRDefault="009C4164">
      <w:pPr>
        <w:jc w:val="both"/>
        <w:rPr>
          <w:b/>
          <w:sz w:val="20"/>
          <w:szCs w:val="20"/>
          <w:lang w:val="ru-RU"/>
        </w:rPr>
      </w:pPr>
      <w:proofErr w:type="gramStart"/>
      <w:r w:rsidRPr="009C4164">
        <w:rPr>
          <w:b/>
          <w:sz w:val="20"/>
          <w:szCs w:val="20"/>
          <w:lang w:val="ru-RU"/>
        </w:rPr>
        <w:t>ВСТУП</w:t>
      </w:r>
      <w:proofErr w:type="gramEnd"/>
    </w:p>
    <w:p w:rsidR="00BA7A83" w:rsidRPr="009C4164" w:rsidRDefault="00BA7A83">
      <w:pPr>
        <w:jc w:val="both"/>
        <w:rPr>
          <w:b/>
          <w:sz w:val="20"/>
          <w:szCs w:val="20"/>
          <w:lang w:val="ru-RU"/>
        </w:rPr>
      </w:pPr>
    </w:p>
    <w:p w:rsidR="00BA7A83" w:rsidRPr="009C4164" w:rsidRDefault="009C4164">
      <w:pPr>
        <w:jc w:val="both"/>
        <w:rPr>
          <w:sz w:val="20"/>
          <w:szCs w:val="20"/>
          <w:lang w:val="ru-RU"/>
        </w:rPr>
      </w:pPr>
      <w:r w:rsidRPr="009C4164">
        <w:rPr>
          <w:sz w:val="20"/>
          <w:szCs w:val="20"/>
          <w:lang w:val="ru-RU"/>
        </w:rPr>
        <w:t xml:space="preserve">Основна мета </w:t>
      </w:r>
      <w:proofErr w:type="gramStart"/>
      <w:r w:rsidRPr="009C4164">
        <w:rPr>
          <w:sz w:val="20"/>
          <w:szCs w:val="20"/>
          <w:lang w:val="ru-RU"/>
        </w:rPr>
        <w:t>досл</w:t>
      </w:r>
      <w:proofErr w:type="gramEnd"/>
      <w:r w:rsidRPr="009C4164">
        <w:rPr>
          <w:sz w:val="20"/>
          <w:szCs w:val="20"/>
          <w:lang w:val="ru-RU"/>
        </w:rPr>
        <w:t xml:space="preserve">ідження полягає в аналізі практики застосування покарання жінкам та чоловікам за злочин, встановлений частиною 1 статті 309 Кримінального Кодексу. </w:t>
      </w:r>
    </w:p>
    <w:p w:rsidR="00BA7A83" w:rsidRPr="009C4164" w:rsidRDefault="00BA7A83">
      <w:pPr>
        <w:jc w:val="both"/>
        <w:rPr>
          <w:sz w:val="20"/>
          <w:szCs w:val="20"/>
          <w:lang w:val="ru-RU"/>
        </w:rPr>
      </w:pPr>
    </w:p>
    <w:p w:rsidR="00BA7A83" w:rsidRPr="009C4164" w:rsidRDefault="009C4164">
      <w:pPr>
        <w:jc w:val="both"/>
        <w:rPr>
          <w:sz w:val="20"/>
          <w:szCs w:val="20"/>
          <w:lang w:val="ru-RU"/>
        </w:rPr>
      </w:pPr>
      <w:proofErr w:type="gramStart"/>
      <w:r w:rsidRPr="009C4164">
        <w:rPr>
          <w:sz w:val="20"/>
          <w:szCs w:val="20"/>
          <w:lang w:val="ru-RU"/>
        </w:rPr>
        <w:t>Досл</w:t>
      </w:r>
      <w:proofErr w:type="gramEnd"/>
      <w:r w:rsidRPr="009C4164">
        <w:rPr>
          <w:sz w:val="20"/>
          <w:szCs w:val="20"/>
          <w:lang w:val="ru-RU"/>
        </w:rPr>
        <w:t>ідження грунтується на  “</w:t>
      </w:r>
      <w:r>
        <w:rPr>
          <w:sz w:val="20"/>
          <w:szCs w:val="20"/>
        </w:rPr>
        <w:t>chivalry</w:t>
      </w:r>
      <w:r w:rsidRPr="009C4164">
        <w:rPr>
          <w:sz w:val="20"/>
          <w:szCs w:val="20"/>
          <w:lang w:val="ru-RU"/>
        </w:rPr>
        <w:t xml:space="preserve"> </w:t>
      </w:r>
      <w:r>
        <w:rPr>
          <w:sz w:val="20"/>
          <w:szCs w:val="20"/>
        </w:rPr>
        <w:t>theory</w:t>
      </w:r>
      <w:r w:rsidRPr="009C4164">
        <w:rPr>
          <w:sz w:val="20"/>
          <w:szCs w:val="20"/>
          <w:lang w:val="ru-RU"/>
        </w:rPr>
        <w:t>” (теорії лицарства), котра пояснює схильність системи кримінальної юстиції карати більш жорстко чоловіків, в той час, як щодо жінок поліція, як правило, застосовує більш поблажливі заходи, а суди виносять жінкам</w:t>
      </w:r>
      <w:r w:rsidRPr="009C4164">
        <w:rPr>
          <w:sz w:val="20"/>
          <w:szCs w:val="20"/>
          <w:lang w:val="ru-RU"/>
        </w:rPr>
        <w:t xml:space="preserve"> м’якші покарання.</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Первинна гіпотеза дослідження полягала в тому, що чоловікам призначають суворіші покарання ніж </w:t>
      </w:r>
      <w:proofErr w:type="gramStart"/>
      <w:r w:rsidRPr="009C4164">
        <w:rPr>
          <w:sz w:val="20"/>
          <w:szCs w:val="20"/>
          <w:lang w:val="ru-RU"/>
        </w:rPr>
        <w:t>ж</w:t>
      </w:r>
      <w:proofErr w:type="gramEnd"/>
      <w:r w:rsidRPr="009C4164">
        <w:rPr>
          <w:sz w:val="20"/>
          <w:szCs w:val="20"/>
          <w:lang w:val="ru-RU"/>
        </w:rPr>
        <w:t xml:space="preserve">інкам.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Криміналізація осіб, що вживають наркотики, є дискусійним питанням впровадження ефективної наркополітики на </w:t>
      </w:r>
      <w:proofErr w:type="gramStart"/>
      <w:r w:rsidRPr="009C4164">
        <w:rPr>
          <w:sz w:val="20"/>
          <w:szCs w:val="20"/>
          <w:lang w:val="ru-RU"/>
        </w:rPr>
        <w:t>р</w:t>
      </w:r>
      <w:proofErr w:type="gramEnd"/>
      <w:r w:rsidRPr="009C4164">
        <w:rPr>
          <w:sz w:val="20"/>
          <w:szCs w:val="20"/>
          <w:lang w:val="ru-RU"/>
        </w:rPr>
        <w:t>івні держави та з огля</w:t>
      </w:r>
      <w:r w:rsidRPr="009C4164">
        <w:rPr>
          <w:sz w:val="20"/>
          <w:szCs w:val="20"/>
          <w:lang w:val="ru-RU"/>
        </w:rPr>
        <w:t>ду на забезпечення прав людини. Такий захід зазвичай має на меті зменшення пропозиції на ринку нелегальних наркотичних речовин.  Стаття 309 Кримінального Кодексу є певним лакмусовим папірцем державної політики, оскільки зазвичай вона застосовується до кінц</w:t>
      </w:r>
      <w:r w:rsidRPr="009C4164">
        <w:rPr>
          <w:sz w:val="20"/>
          <w:szCs w:val="20"/>
          <w:lang w:val="ru-RU"/>
        </w:rPr>
        <w:t xml:space="preserve">евих споживачів наркотичних речовин, які страждають від розладів, пов’язаних зі вживанням наркотиків, і радше потребують </w:t>
      </w:r>
      <w:proofErr w:type="gramStart"/>
      <w:r w:rsidRPr="009C4164">
        <w:rPr>
          <w:sz w:val="20"/>
          <w:szCs w:val="20"/>
          <w:lang w:val="ru-RU"/>
        </w:rPr>
        <w:t>соц</w:t>
      </w:r>
      <w:proofErr w:type="gramEnd"/>
      <w:r w:rsidRPr="009C4164">
        <w:rPr>
          <w:sz w:val="20"/>
          <w:szCs w:val="20"/>
          <w:lang w:val="ru-RU"/>
        </w:rPr>
        <w:t>іо-медичного втручання ніж правосуддя. Таким чином заходи щодо декриміналізації наркотичних речовин великою мірою стосуються зміни а</w:t>
      </w:r>
      <w:r w:rsidRPr="009C4164">
        <w:rPr>
          <w:sz w:val="20"/>
          <w:szCs w:val="20"/>
          <w:lang w:val="ru-RU"/>
        </w:rPr>
        <w:t xml:space="preserve">бо навіть скасування положень цієї статті. Результати цього </w:t>
      </w:r>
      <w:proofErr w:type="gramStart"/>
      <w:r w:rsidRPr="009C4164">
        <w:rPr>
          <w:sz w:val="20"/>
          <w:szCs w:val="20"/>
          <w:lang w:val="ru-RU"/>
        </w:rPr>
        <w:t>досл</w:t>
      </w:r>
      <w:proofErr w:type="gramEnd"/>
      <w:r w:rsidRPr="009C4164">
        <w:rPr>
          <w:sz w:val="20"/>
          <w:szCs w:val="20"/>
          <w:lang w:val="ru-RU"/>
        </w:rPr>
        <w:t xml:space="preserve">ідження можна буде використати для порівняння ситуації, пов’язаної з запровадженням кримінальних проступків.  </w:t>
      </w:r>
    </w:p>
    <w:p w:rsidR="00BA7A83" w:rsidRPr="009C4164" w:rsidRDefault="00BA7A83">
      <w:pPr>
        <w:jc w:val="both"/>
        <w:rPr>
          <w:sz w:val="20"/>
          <w:szCs w:val="20"/>
          <w:lang w:val="ru-RU"/>
        </w:rPr>
      </w:pPr>
    </w:p>
    <w:p w:rsidR="00BA7A83" w:rsidRPr="009C4164" w:rsidRDefault="009C4164">
      <w:pPr>
        <w:jc w:val="both"/>
        <w:rPr>
          <w:sz w:val="20"/>
          <w:szCs w:val="20"/>
          <w:lang w:val="ru-RU"/>
        </w:rPr>
      </w:pPr>
      <w:proofErr w:type="gramStart"/>
      <w:r w:rsidRPr="009C4164">
        <w:rPr>
          <w:sz w:val="20"/>
          <w:szCs w:val="20"/>
          <w:lang w:val="ru-RU"/>
        </w:rPr>
        <w:t>З</w:t>
      </w:r>
      <w:proofErr w:type="gramEnd"/>
      <w:r w:rsidRPr="009C4164">
        <w:rPr>
          <w:sz w:val="20"/>
          <w:szCs w:val="20"/>
          <w:lang w:val="ru-RU"/>
        </w:rPr>
        <w:t xml:space="preserve"> іншого боку, на прикладі конкретної статті можна розглянути гендерні особливос</w:t>
      </w:r>
      <w:r w:rsidRPr="009C4164">
        <w:rPr>
          <w:sz w:val="20"/>
          <w:szCs w:val="20"/>
          <w:lang w:val="ru-RU"/>
        </w:rPr>
        <w:t xml:space="preserve">ті на всіх ланках правосуддя. Дані, представлені у результаті </w:t>
      </w:r>
      <w:proofErr w:type="gramStart"/>
      <w:r w:rsidRPr="009C4164">
        <w:rPr>
          <w:sz w:val="20"/>
          <w:szCs w:val="20"/>
          <w:lang w:val="ru-RU"/>
        </w:rPr>
        <w:t>досл</w:t>
      </w:r>
      <w:proofErr w:type="gramEnd"/>
      <w:r w:rsidRPr="009C4164">
        <w:rPr>
          <w:sz w:val="20"/>
          <w:szCs w:val="20"/>
          <w:lang w:val="ru-RU"/>
        </w:rPr>
        <w:t xml:space="preserve">ідження, є обмеженими з огляду на лімітованість вибірки. Проте, такий аналіз ілюструє наявні в українському правочинстві тенденції, що можуть слугувати відправною точкою подальших </w:t>
      </w:r>
      <w:proofErr w:type="gramStart"/>
      <w:r w:rsidRPr="009C4164">
        <w:rPr>
          <w:sz w:val="20"/>
          <w:szCs w:val="20"/>
          <w:lang w:val="ru-RU"/>
        </w:rPr>
        <w:t>досл</w:t>
      </w:r>
      <w:proofErr w:type="gramEnd"/>
      <w:r w:rsidRPr="009C4164">
        <w:rPr>
          <w:sz w:val="20"/>
          <w:szCs w:val="20"/>
          <w:lang w:val="ru-RU"/>
        </w:rPr>
        <w:t>іджень</w:t>
      </w:r>
      <w:r w:rsidRPr="009C4164">
        <w:rPr>
          <w:sz w:val="20"/>
          <w:szCs w:val="20"/>
          <w:lang w:val="ru-RU"/>
        </w:rPr>
        <w:t xml:space="preserve"> у сфері гендерного дисбалансу застосування покарань щодо злочинів, пов’язаних з наркотиками. </w:t>
      </w:r>
    </w:p>
    <w:p w:rsidR="00BA7A83" w:rsidRPr="009C4164" w:rsidRDefault="00BA7A83">
      <w:pPr>
        <w:jc w:val="both"/>
        <w:rPr>
          <w:sz w:val="20"/>
          <w:szCs w:val="20"/>
          <w:lang w:val="ru-RU"/>
        </w:rPr>
      </w:pPr>
    </w:p>
    <w:p w:rsidR="00BA7A83" w:rsidRPr="009C4164" w:rsidRDefault="009C4164">
      <w:pPr>
        <w:jc w:val="both"/>
        <w:rPr>
          <w:sz w:val="20"/>
          <w:szCs w:val="20"/>
          <w:lang w:val="ru-RU"/>
        </w:rPr>
      </w:pPr>
      <w:proofErr w:type="gramStart"/>
      <w:r w:rsidRPr="009C4164">
        <w:rPr>
          <w:sz w:val="20"/>
          <w:szCs w:val="20"/>
          <w:lang w:val="ru-RU"/>
        </w:rPr>
        <w:t>Досл</w:t>
      </w:r>
      <w:proofErr w:type="gramEnd"/>
      <w:r w:rsidRPr="009C4164">
        <w:rPr>
          <w:sz w:val="20"/>
          <w:szCs w:val="20"/>
          <w:lang w:val="ru-RU"/>
        </w:rPr>
        <w:t xml:space="preserve">ідження складається з двох частин.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Перша частина </w:t>
      </w:r>
      <w:proofErr w:type="gramStart"/>
      <w:r w:rsidRPr="009C4164">
        <w:rPr>
          <w:sz w:val="20"/>
          <w:szCs w:val="20"/>
          <w:lang w:val="ru-RU"/>
        </w:rPr>
        <w:t>містить</w:t>
      </w:r>
      <w:proofErr w:type="gramEnd"/>
      <w:r w:rsidRPr="009C4164">
        <w:rPr>
          <w:sz w:val="20"/>
          <w:szCs w:val="20"/>
          <w:lang w:val="ru-RU"/>
        </w:rPr>
        <w:t xml:space="preserve"> критичний огляд літератури. Поряд з оглядом схожих </w:t>
      </w:r>
      <w:proofErr w:type="gramStart"/>
      <w:r w:rsidRPr="009C4164">
        <w:rPr>
          <w:sz w:val="20"/>
          <w:szCs w:val="20"/>
          <w:lang w:val="ru-RU"/>
        </w:rPr>
        <w:t>досл</w:t>
      </w:r>
      <w:proofErr w:type="gramEnd"/>
      <w:r w:rsidRPr="009C4164">
        <w:rPr>
          <w:sz w:val="20"/>
          <w:szCs w:val="20"/>
          <w:lang w:val="ru-RU"/>
        </w:rPr>
        <w:t>іджень або досліджень, які можуть впливати</w:t>
      </w:r>
      <w:r w:rsidRPr="009C4164">
        <w:rPr>
          <w:sz w:val="20"/>
          <w:szCs w:val="20"/>
          <w:lang w:val="ru-RU"/>
        </w:rPr>
        <w:t xml:space="preserve"> на інтерпретацію результатів, була зібрана інформація щодо поточної ситуації в Україні. Таким чином, у дослідженні представлений комплексна оцінка контексту застосування статті 309 Кримінального кодексу України.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Друга частина </w:t>
      </w:r>
      <w:proofErr w:type="gramStart"/>
      <w:r w:rsidRPr="009C4164">
        <w:rPr>
          <w:sz w:val="20"/>
          <w:szCs w:val="20"/>
          <w:lang w:val="ru-RU"/>
        </w:rPr>
        <w:t>досл</w:t>
      </w:r>
      <w:proofErr w:type="gramEnd"/>
      <w:r w:rsidRPr="009C4164">
        <w:rPr>
          <w:sz w:val="20"/>
          <w:szCs w:val="20"/>
          <w:lang w:val="ru-RU"/>
        </w:rPr>
        <w:t>ідження містить резуль</w:t>
      </w:r>
      <w:r w:rsidRPr="009C4164">
        <w:rPr>
          <w:sz w:val="20"/>
          <w:szCs w:val="20"/>
          <w:lang w:val="ru-RU"/>
        </w:rPr>
        <w:t>тати проведеного аналізу вироків за статтею 309 Кримінального Кодексу з точки зору суворості призначення покарання в залежності від статі. .</w:t>
      </w:r>
    </w:p>
    <w:p w:rsidR="00BA7A83" w:rsidRPr="009C4164" w:rsidRDefault="00BA7A83">
      <w:pPr>
        <w:jc w:val="both"/>
        <w:rPr>
          <w:b/>
          <w:sz w:val="20"/>
          <w:szCs w:val="20"/>
          <w:lang w:val="ru-RU"/>
        </w:rPr>
      </w:pPr>
    </w:p>
    <w:p w:rsidR="00BA7A83" w:rsidRPr="009C4164" w:rsidRDefault="009C4164">
      <w:pPr>
        <w:jc w:val="both"/>
        <w:rPr>
          <w:b/>
          <w:sz w:val="20"/>
          <w:szCs w:val="20"/>
          <w:lang w:val="ru-RU"/>
        </w:rPr>
      </w:pPr>
      <w:r w:rsidRPr="009C4164">
        <w:rPr>
          <w:b/>
          <w:sz w:val="20"/>
          <w:szCs w:val="20"/>
          <w:lang w:val="ru-RU"/>
        </w:rPr>
        <w:t>ОСНОВНІ РЕЗУЛЬТАТИ</w:t>
      </w:r>
    </w:p>
    <w:p w:rsidR="00BA7A83" w:rsidRPr="009C4164" w:rsidRDefault="00BA7A83">
      <w:pPr>
        <w:jc w:val="both"/>
        <w:rPr>
          <w:b/>
          <w:sz w:val="20"/>
          <w:szCs w:val="20"/>
          <w:lang w:val="ru-RU"/>
        </w:rPr>
      </w:pPr>
    </w:p>
    <w:p w:rsidR="00BA7A83" w:rsidRPr="009C4164" w:rsidRDefault="009C4164">
      <w:pPr>
        <w:jc w:val="both"/>
        <w:rPr>
          <w:sz w:val="20"/>
          <w:szCs w:val="20"/>
          <w:lang w:val="ru-RU"/>
        </w:rPr>
      </w:pPr>
      <w:r w:rsidRPr="009C4164">
        <w:rPr>
          <w:sz w:val="20"/>
          <w:szCs w:val="20"/>
          <w:lang w:val="ru-RU"/>
        </w:rPr>
        <w:t xml:space="preserve">В ході проведеного </w:t>
      </w:r>
      <w:proofErr w:type="gramStart"/>
      <w:r w:rsidRPr="009C4164">
        <w:rPr>
          <w:sz w:val="20"/>
          <w:szCs w:val="20"/>
          <w:lang w:val="ru-RU"/>
        </w:rPr>
        <w:t>досл</w:t>
      </w:r>
      <w:proofErr w:type="gramEnd"/>
      <w:r w:rsidRPr="009C4164">
        <w:rPr>
          <w:sz w:val="20"/>
          <w:szCs w:val="20"/>
          <w:lang w:val="ru-RU"/>
        </w:rPr>
        <w:t>ідження було з’ясовано, що на всіх рівнях правосуддя є певні особливост</w:t>
      </w:r>
      <w:r w:rsidRPr="009C4164">
        <w:rPr>
          <w:sz w:val="20"/>
          <w:szCs w:val="20"/>
          <w:lang w:val="ru-RU"/>
        </w:rPr>
        <w:t xml:space="preserve">і, які засвідчують і уможливлюють гендерну нерівність. В злочинах, пов’язаних з наркотиками, цей гендерний дисбаланс яскраво виражений, що </w:t>
      </w:r>
      <w:proofErr w:type="gramStart"/>
      <w:r w:rsidRPr="009C4164">
        <w:rPr>
          <w:sz w:val="20"/>
          <w:szCs w:val="20"/>
          <w:lang w:val="ru-RU"/>
        </w:rPr>
        <w:t>п</w:t>
      </w:r>
      <w:proofErr w:type="gramEnd"/>
      <w:r w:rsidRPr="009C4164">
        <w:rPr>
          <w:sz w:val="20"/>
          <w:szCs w:val="20"/>
          <w:lang w:val="ru-RU"/>
        </w:rPr>
        <w:t>ідтвердилося і результатами даного аналізу.</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lastRenderedPageBreak/>
        <w:t>В систему правосуддя щодо злочинів, пов’язаних з наркотиками, потрапляє</w:t>
      </w:r>
      <w:r w:rsidRPr="009C4164">
        <w:rPr>
          <w:sz w:val="20"/>
          <w:szCs w:val="20"/>
          <w:lang w:val="ru-RU"/>
        </w:rPr>
        <w:t xml:space="preserve"> значно менше жінок, ніж чоловіків. . Це пов’язано в першу чергу з тим, що поліціювання злочинів у сфері обігу наркотиків </w:t>
      </w:r>
      <w:proofErr w:type="gramStart"/>
      <w:r w:rsidRPr="009C4164">
        <w:rPr>
          <w:sz w:val="20"/>
          <w:szCs w:val="20"/>
          <w:lang w:val="ru-RU"/>
        </w:rPr>
        <w:t>в</w:t>
      </w:r>
      <w:proofErr w:type="gramEnd"/>
      <w:r w:rsidRPr="009C4164">
        <w:rPr>
          <w:sz w:val="20"/>
          <w:szCs w:val="20"/>
          <w:lang w:val="ru-RU"/>
        </w:rPr>
        <w:t xml:space="preserve"> першу чергу спрямоване на чоловіків. Цьому, зокрема, сприяє гендерний дисбаланс у особову складі поліції.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В західних </w:t>
      </w:r>
      <w:proofErr w:type="gramStart"/>
      <w:r w:rsidRPr="009C4164">
        <w:rPr>
          <w:sz w:val="20"/>
          <w:szCs w:val="20"/>
          <w:lang w:val="ru-RU"/>
        </w:rPr>
        <w:t>країнах</w:t>
      </w:r>
      <w:proofErr w:type="gramEnd"/>
      <w:r w:rsidRPr="009C4164">
        <w:rPr>
          <w:sz w:val="20"/>
          <w:szCs w:val="20"/>
          <w:lang w:val="ru-RU"/>
        </w:rPr>
        <w:t xml:space="preserve"> суди схильні призначати жінкам менш суворі покарання. Найбільш </w:t>
      </w:r>
      <w:proofErr w:type="gramStart"/>
      <w:r w:rsidRPr="009C4164">
        <w:rPr>
          <w:sz w:val="20"/>
          <w:szCs w:val="20"/>
          <w:lang w:val="ru-RU"/>
        </w:rPr>
        <w:t>досл</w:t>
      </w:r>
      <w:proofErr w:type="gramEnd"/>
      <w:r w:rsidRPr="009C4164">
        <w:rPr>
          <w:sz w:val="20"/>
          <w:szCs w:val="20"/>
          <w:lang w:val="ru-RU"/>
        </w:rPr>
        <w:t xml:space="preserve">ідженою є США, де ця теза була не раз доведена емпіричними даними, в тому числі і щодо злочинів у сфері наркотиків.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Український контекст призначення покарання за злочин</w:t>
      </w:r>
      <w:r w:rsidRPr="009C4164">
        <w:rPr>
          <w:sz w:val="20"/>
          <w:szCs w:val="20"/>
          <w:lang w:val="ru-RU"/>
        </w:rPr>
        <w:t>, передбачений частиною 1 статті 309 Кримінального Кодексу ілюстру</w:t>
      </w:r>
      <w:proofErr w:type="gramStart"/>
      <w:r w:rsidRPr="009C4164">
        <w:rPr>
          <w:sz w:val="20"/>
          <w:szCs w:val="20"/>
          <w:lang w:val="ru-RU"/>
        </w:rPr>
        <w:t>є,</w:t>
      </w:r>
      <w:proofErr w:type="gramEnd"/>
      <w:r w:rsidRPr="009C4164">
        <w:rPr>
          <w:sz w:val="20"/>
          <w:szCs w:val="20"/>
          <w:lang w:val="ru-RU"/>
        </w:rPr>
        <w:t xml:space="preserve"> що суворість застосування покарань щодо чоловіків та жінок приблизно однакова. </w:t>
      </w:r>
      <w:proofErr w:type="gramStart"/>
      <w:r w:rsidRPr="009C4164">
        <w:rPr>
          <w:sz w:val="20"/>
          <w:szCs w:val="20"/>
          <w:lang w:val="ru-RU"/>
        </w:rPr>
        <w:t>Кр</w:t>
      </w:r>
      <w:proofErr w:type="gramEnd"/>
      <w:r w:rsidRPr="009C4164">
        <w:rPr>
          <w:sz w:val="20"/>
          <w:szCs w:val="20"/>
          <w:lang w:val="ru-RU"/>
        </w:rPr>
        <w:t>ім того, суди схильні призначати найменш можливе покарання, передбачене санкцією.</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В той саме час, жінкам </w:t>
      </w:r>
      <w:r w:rsidRPr="009C4164">
        <w:rPr>
          <w:sz w:val="20"/>
          <w:szCs w:val="20"/>
          <w:lang w:val="ru-RU"/>
        </w:rPr>
        <w:t xml:space="preserve">частіше призначають покарання у вигляді позбавлення волі. Однак, разом з призначенням такого покарання одночасно звільняють від </w:t>
      </w:r>
      <w:proofErr w:type="gramStart"/>
      <w:r w:rsidRPr="009C4164">
        <w:rPr>
          <w:sz w:val="20"/>
          <w:szCs w:val="20"/>
          <w:lang w:val="ru-RU"/>
        </w:rPr>
        <w:t>його в</w:t>
      </w:r>
      <w:proofErr w:type="gramEnd"/>
      <w:r w:rsidRPr="009C4164">
        <w:rPr>
          <w:sz w:val="20"/>
          <w:szCs w:val="20"/>
          <w:lang w:val="ru-RU"/>
        </w:rPr>
        <w:t xml:space="preserve">ідбування. У зв’язку з цим причини гендерної </w:t>
      </w:r>
      <w:proofErr w:type="gramStart"/>
      <w:r w:rsidRPr="009C4164">
        <w:rPr>
          <w:sz w:val="20"/>
          <w:szCs w:val="20"/>
          <w:lang w:val="ru-RU"/>
        </w:rPr>
        <w:t>р</w:t>
      </w:r>
      <w:proofErr w:type="gramEnd"/>
      <w:r w:rsidRPr="009C4164">
        <w:rPr>
          <w:sz w:val="20"/>
          <w:szCs w:val="20"/>
          <w:lang w:val="ru-RU"/>
        </w:rPr>
        <w:t xml:space="preserve">ізниці щодо цього питання потребують додаткових досліджень.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В ході </w:t>
      </w:r>
      <w:proofErr w:type="gramStart"/>
      <w:r w:rsidRPr="009C4164">
        <w:rPr>
          <w:sz w:val="20"/>
          <w:szCs w:val="20"/>
          <w:lang w:val="ru-RU"/>
        </w:rPr>
        <w:t>досл</w:t>
      </w:r>
      <w:proofErr w:type="gramEnd"/>
      <w:r w:rsidRPr="009C4164">
        <w:rPr>
          <w:sz w:val="20"/>
          <w:szCs w:val="20"/>
          <w:lang w:val="ru-RU"/>
        </w:rPr>
        <w:t>ідж</w:t>
      </w:r>
      <w:r w:rsidRPr="009C4164">
        <w:rPr>
          <w:sz w:val="20"/>
          <w:szCs w:val="20"/>
          <w:lang w:val="ru-RU"/>
        </w:rPr>
        <w:t xml:space="preserve">ення не була виявлена схильність жінок до укладання угод про визнання винуватості. </w:t>
      </w:r>
    </w:p>
    <w:p w:rsidR="00BA7A83" w:rsidRPr="009C4164" w:rsidRDefault="00BA7A83">
      <w:pPr>
        <w:jc w:val="both"/>
        <w:rPr>
          <w:sz w:val="20"/>
          <w:szCs w:val="20"/>
          <w:lang w:val="ru-RU"/>
        </w:rPr>
      </w:pPr>
    </w:p>
    <w:p w:rsidR="00BA7A83" w:rsidRPr="009C4164" w:rsidRDefault="009C4164">
      <w:pPr>
        <w:jc w:val="both"/>
        <w:rPr>
          <w:b/>
          <w:sz w:val="20"/>
          <w:szCs w:val="20"/>
          <w:lang w:val="ru-RU"/>
        </w:rPr>
      </w:pPr>
      <w:r w:rsidRPr="009C4164">
        <w:rPr>
          <w:b/>
          <w:sz w:val="20"/>
          <w:szCs w:val="20"/>
          <w:lang w:val="ru-RU"/>
        </w:rPr>
        <w:t>ОГЛЯД ЛІТЕРАТУРИ</w:t>
      </w:r>
    </w:p>
    <w:p w:rsidR="00BA7A83" w:rsidRPr="009C4164" w:rsidRDefault="00BA7A83">
      <w:pPr>
        <w:jc w:val="both"/>
        <w:rPr>
          <w:b/>
          <w:sz w:val="20"/>
          <w:szCs w:val="20"/>
          <w:lang w:val="ru-RU"/>
        </w:rPr>
      </w:pPr>
    </w:p>
    <w:p w:rsidR="00BA7A83" w:rsidRPr="009C4164" w:rsidRDefault="009C4164">
      <w:pPr>
        <w:jc w:val="both"/>
        <w:rPr>
          <w:b/>
          <w:sz w:val="20"/>
          <w:szCs w:val="20"/>
          <w:lang w:val="ru-RU"/>
        </w:rPr>
      </w:pPr>
      <w:r w:rsidRPr="009C4164">
        <w:rPr>
          <w:b/>
          <w:sz w:val="20"/>
          <w:szCs w:val="20"/>
          <w:lang w:val="ru-RU"/>
        </w:rPr>
        <w:t>Ґендерний аспект наркополітики: поліція, суди та в’язниці</w:t>
      </w:r>
    </w:p>
    <w:p w:rsidR="00BA7A83" w:rsidRPr="009C4164" w:rsidRDefault="00BA7A83">
      <w:pPr>
        <w:jc w:val="both"/>
        <w:rPr>
          <w:b/>
          <w:sz w:val="20"/>
          <w:szCs w:val="20"/>
          <w:lang w:val="ru-RU"/>
        </w:rPr>
      </w:pPr>
    </w:p>
    <w:p w:rsidR="00BA7A83" w:rsidRPr="009C4164" w:rsidRDefault="009C4164">
      <w:pPr>
        <w:jc w:val="both"/>
        <w:rPr>
          <w:sz w:val="20"/>
          <w:szCs w:val="20"/>
          <w:lang w:val="ru-RU"/>
        </w:rPr>
      </w:pPr>
      <w:r w:rsidRPr="009C4164">
        <w:rPr>
          <w:sz w:val="20"/>
          <w:szCs w:val="20"/>
          <w:lang w:val="ru-RU"/>
        </w:rPr>
        <w:t xml:space="preserve">Нерівність у винесенні санкцій в залежності від </w:t>
      </w:r>
      <w:proofErr w:type="gramStart"/>
      <w:r w:rsidRPr="009C4164">
        <w:rPr>
          <w:sz w:val="20"/>
          <w:szCs w:val="20"/>
          <w:lang w:val="ru-RU"/>
        </w:rPr>
        <w:t>соц</w:t>
      </w:r>
      <w:proofErr w:type="gramEnd"/>
      <w:r w:rsidRPr="009C4164">
        <w:rPr>
          <w:sz w:val="20"/>
          <w:szCs w:val="20"/>
          <w:lang w:val="ru-RU"/>
        </w:rPr>
        <w:t>іо-демографічних факторів є однією з найбіл</w:t>
      </w:r>
      <w:r w:rsidRPr="009C4164">
        <w:rPr>
          <w:sz w:val="20"/>
          <w:szCs w:val="20"/>
          <w:lang w:val="ru-RU"/>
        </w:rPr>
        <w:t xml:space="preserve">ьш важливих тем у соціології права. Вивчення цього феномену розпочалось із </w:t>
      </w:r>
      <w:proofErr w:type="gramStart"/>
      <w:r w:rsidRPr="009C4164">
        <w:rPr>
          <w:sz w:val="20"/>
          <w:szCs w:val="20"/>
          <w:lang w:val="ru-RU"/>
        </w:rPr>
        <w:t>досл</w:t>
      </w:r>
      <w:proofErr w:type="gramEnd"/>
      <w:r w:rsidRPr="009C4164">
        <w:rPr>
          <w:sz w:val="20"/>
          <w:szCs w:val="20"/>
          <w:lang w:val="ru-RU"/>
        </w:rPr>
        <w:t xml:space="preserve">ідження соціолога Торстена Селліна 1928 року, в якому він звернув увагу на те, що темношкірим американцям суди призначали важчі й більш суворі покарання, ніж білим, коли йшлося </w:t>
      </w:r>
      <w:r w:rsidRPr="009C4164">
        <w:rPr>
          <w:sz w:val="20"/>
          <w:szCs w:val="20"/>
          <w:lang w:val="ru-RU"/>
        </w:rPr>
        <w:t>про одні й ті самі злочини (</w:t>
      </w:r>
      <w:r>
        <w:rPr>
          <w:sz w:val="20"/>
          <w:szCs w:val="20"/>
        </w:rPr>
        <w:t>Sellin</w:t>
      </w:r>
      <w:r w:rsidRPr="009C4164">
        <w:rPr>
          <w:sz w:val="20"/>
          <w:szCs w:val="20"/>
          <w:lang w:val="ru-RU"/>
        </w:rPr>
        <w:t xml:space="preserve">, 1928). Вже у 1950-60-х роках минулого століття з’явились праці, які </w:t>
      </w:r>
      <w:proofErr w:type="gramStart"/>
      <w:r w:rsidRPr="009C4164">
        <w:rPr>
          <w:sz w:val="20"/>
          <w:szCs w:val="20"/>
          <w:lang w:val="ru-RU"/>
        </w:rPr>
        <w:t>п</w:t>
      </w:r>
      <w:proofErr w:type="gramEnd"/>
      <w:r w:rsidRPr="009C4164">
        <w:rPr>
          <w:sz w:val="20"/>
          <w:szCs w:val="20"/>
          <w:lang w:val="ru-RU"/>
        </w:rPr>
        <w:t>іднімали питання ґендерного аспекту правозастосування у судах. Іншими словами, чому чоловікам і жінкам призначають різні покарання. В англомовній акаде</w:t>
      </w:r>
      <w:r w:rsidRPr="009C4164">
        <w:rPr>
          <w:sz w:val="20"/>
          <w:szCs w:val="20"/>
          <w:lang w:val="ru-RU"/>
        </w:rPr>
        <w:t xml:space="preserve">мічній літературі йдеться про такі напрями </w:t>
      </w:r>
      <w:proofErr w:type="gramStart"/>
      <w:r w:rsidRPr="009C4164">
        <w:rPr>
          <w:sz w:val="20"/>
          <w:szCs w:val="20"/>
          <w:lang w:val="ru-RU"/>
        </w:rPr>
        <w:t>досл</w:t>
      </w:r>
      <w:proofErr w:type="gramEnd"/>
      <w:r w:rsidRPr="009C4164">
        <w:rPr>
          <w:sz w:val="20"/>
          <w:szCs w:val="20"/>
          <w:lang w:val="ru-RU"/>
        </w:rPr>
        <w:t>іджень як “</w:t>
      </w:r>
      <w:r>
        <w:rPr>
          <w:sz w:val="20"/>
          <w:szCs w:val="20"/>
        </w:rPr>
        <w:t>sentencing</w:t>
      </w:r>
      <w:r w:rsidRPr="009C4164">
        <w:rPr>
          <w:sz w:val="20"/>
          <w:szCs w:val="20"/>
          <w:lang w:val="ru-RU"/>
        </w:rPr>
        <w:t xml:space="preserve"> </w:t>
      </w:r>
      <w:r>
        <w:rPr>
          <w:sz w:val="20"/>
          <w:szCs w:val="20"/>
        </w:rPr>
        <w:t>disparity</w:t>
      </w:r>
      <w:r w:rsidRPr="009C4164">
        <w:rPr>
          <w:sz w:val="20"/>
          <w:szCs w:val="20"/>
          <w:lang w:val="ru-RU"/>
        </w:rPr>
        <w:t>” (диспропорційність у вироках) та “</w:t>
      </w:r>
      <w:r>
        <w:rPr>
          <w:sz w:val="20"/>
          <w:szCs w:val="20"/>
        </w:rPr>
        <w:t>judiciary</w:t>
      </w:r>
      <w:r w:rsidRPr="009C4164">
        <w:rPr>
          <w:sz w:val="20"/>
          <w:szCs w:val="20"/>
          <w:lang w:val="ru-RU"/>
        </w:rPr>
        <w:t xml:space="preserve"> </w:t>
      </w:r>
      <w:r>
        <w:rPr>
          <w:sz w:val="20"/>
          <w:szCs w:val="20"/>
        </w:rPr>
        <w:t>bias</w:t>
      </w:r>
      <w:r w:rsidRPr="009C4164">
        <w:rPr>
          <w:sz w:val="20"/>
          <w:szCs w:val="20"/>
          <w:lang w:val="ru-RU"/>
        </w:rPr>
        <w:t xml:space="preserve">” (упередження суддів). </w:t>
      </w:r>
    </w:p>
    <w:p w:rsidR="00BA7A83" w:rsidRPr="009C4164" w:rsidRDefault="00BA7A83">
      <w:pPr>
        <w:jc w:val="both"/>
        <w:rPr>
          <w:sz w:val="20"/>
          <w:szCs w:val="20"/>
          <w:lang w:val="ru-RU"/>
        </w:rPr>
      </w:pPr>
    </w:p>
    <w:p w:rsidR="00BA7A83" w:rsidRPr="009C4164" w:rsidRDefault="009C4164">
      <w:pPr>
        <w:jc w:val="both"/>
        <w:rPr>
          <w:sz w:val="20"/>
          <w:szCs w:val="20"/>
          <w:lang w:val="ru-RU"/>
        </w:rPr>
      </w:pPr>
      <w:proofErr w:type="gramStart"/>
      <w:r w:rsidRPr="009C4164">
        <w:rPr>
          <w:sz w:val="20"/>
          <w:szCs w:val="20"/>
          <w:lang w:val="ru-RU"/>
        </w:rPr>
        <w:t>Корпус цих текстів згодом сприяв виникненню так званої “</w:t>
      </w:r>
      <w:r>
        <w:rPr>
          <w:sz w:val="20"/>
          <w:szCs w:val="20"/>
        </w:rPr>
        <w:t>chivalry</w:t>
      </w:r>
      <w:r w:rsidRPr="009C4164">
        <w:rPr>
          <w:sz w:val="20"/>
          <w:szCs w:val="20"/>
          <w:lang w:val="ru-RU"/>
        </w:rPr>
        <w:t xml:space="preserve"> </w:t>
      </w:r>
      <w:r>
        <w:rPr>
          <w:sz w:val="20"/>
          <w:szCs w:val="20"/>
        </w:rPr>
        <w:t>theory</w:t>
      </w:r>
      <w:r w:rsidRPr="009C4164">
        <w:rPr>
          <w:sz w:val="20"/>
          <w:szCs w:val="20"/>
          <w:lang w:val="ru-RU"/>
        </w:rPr>
        <w:t>” (теорії лицарства), котра поя</w:t>
      </w:r>
      <w:r w:rsidRPr="009C4164">
        <w:rPr>
          <w:sz w:val="20"/>
          <w:szCs w:val="20"/>
          <w:lang w:val="ru-RU"/>
        </w:rPr>
        <w:t>снювала схильність системи кримінальної юстиції карати більш жорстко чоловіків, в той час, як щодо жінок поліція, як правило, застосовує більш поблажливі заходи, а суди виносять жінкам м’якші покарання.</w:t>
      </w:r>
      <w:proofErr w:type="gramEnd"/>
      <w:r w:rsidRPr="009C4164">
        <w:rPr>
          <w:sz w:val="20"/>
          <w:szCs w:val="20"/>
          <w:lang w:val="ru-RU"/>
        </w:rPr>
        <w:t xml:space="preserve"> Дійсно, низка </w:t>
      </w:r>
      <w:proofErr w:type="gramStart"/>
      <w:r w:rsidRPr="009C4164">
        <w:rPr>
          <w:sz w:val="20"/>
          <w:szCs w:val="20"/>
          <w:lang w:val="ru-RU"/>
        </w:rPr>
        <w:t>досл</w:t>
      </w:r>
      <w:proofErr w:type="gramEnd"/>
      <w:r w:rsidRPr="009C4164">
        <w:rPr>
          <w:sz w:val="20"/>
          <w:szCs w:val="20"/>
          <w:lang w:val="ru-RU"/>
        </w:rPr>
        <w:t>іджень у 1970-х роках на американсь</w:t>
      </w:r>
      <w:r w:rsidRPr="009C4164">
        <w:rPr>
          <w:sz w:val="20"/>
          <w:szCs w:val="20"/>
          <w:lang w:val="ru-RU"/>
        </w:rPr>
        <w:t>кому матеріалі емпірично продемонструвала, що жінки при винесенні вироків, у порівнянні з чоловіками, отримують менш суворі покарання (</w:t>
      </w:r>
      <w:r>
        <w:rPr>
          <w:sz w:val="20"/>
          <w:szCs w:val="20"/>
        </w:rPr>
        <w:t>Nagel</w:t>
      </w:r>
      <w:r w:rsidRPr="009C4164">
        <w:rPr>
          <w:sz w:val="20"/>
          <w:szCs w:val="20"/>
          <w:lang w:val="ru-RU"/>
        </w:rPr>
        <w:t xml:space="preserve"> &amp; </w:t>
      </w:r>
      <w:r>
        <w:rPr>
          <w:sz w:val="20"/>
          <w:szCs w:val="20"/>
        </w:rPr>
        <w:t>Weitzman</w:t>
      </w:r>
      <w:r w:rsidRPr="009C4164">
        <w:rPr>
          <w:sz w:val="20"/>
          <w:szCs w:val="20"/>
          <w:lang w:val="ru-RU"/>
        </w:rPr>
        <w:t xml:space="preserve">, 1971; </w:t>
      </w:r>
      <w:r>
        <w:rPr>
          <w:sz w:val="20"/>
          <w:szCs w:val="20"/>
        </w:rPr>
        <w:t>Pope</w:t>
      </w:r>
      <w:r w:rsidRPr="009C4164">
        <w:rPr>
          <w:sz w:val="20"/>
          <w:szCs w:val="20"/>
          <w:lang w:val="ru-RU"/>
        </w:rPr>
        <w:t xml:space="preserve">,1975). Останні </w:t>
      </w:r>
      <w:proofErr w:type="gramStart"/>
      <w:r w:rsidRPr="009C4164">
        <w:rPr>
          <w:sz w:val="20"/>
          <w:szCs w:val="20"/>
          <w:lang w:val="ru-RU"/>
        </w:rPr>
        <w:t>досл</w:t>
      </w:r>
      <w:proofErr w:type="gramEnd"/>
      <w:r w:rsidRPr="009C4164">
        <w:rPr>
          <w:sz w:val="20"/>
          <w:szCs w:val="20"/>
          <w:lang w:val="ru-RU"/>
        </w:rPr>
        <w:t>ідження професорки Соні Стар з Університету Чікаґо підтверджують наявніст</w:t>
      </w:r>
      <w:r w:rsidRPr="009C4164">
        <w:rPr>
          <w:sz w:val="20"/>
          <w:szCs w:val="20"/>
          <w:lang w:val="ru-RU"/>
        </w:rPr>
        <w:t>ь диспропорції у вироках: у кримінальному судочинстві жінки мають вдвічі більше шансів залишитись на волі й не бути ув’язненими (коли йдеться про одні й ті самі злочини). Загалом, між 2001 та 2009 роками чоловіки отримували на 63% більші покарання в середн</w:t>
      </w:r>
      <w:r w:rsidRPr="009C4164">
        <w:rPr>
          <w:sz w:val="20"/>
          <w:szCs w:val="20"/>
          <w:lang w:val="ru-RU"/>
        </w:rPr>
        <w:t xml:space="preserve">ьому, ніж </w:t>
      </w:r>
      <w:proofErr w:type="gramStart"/>
      <w:r w:rsidRPr="009C4164">
        <w:rPr>
          <w:sz w:val="20"/>
          <w:szCs w:val="20"/>
          <w:lang w:val="ru-RU"/>
        </w:rPr>
        <w:t>ж</w:t>
      </w:r>
      <w:proofErr w:type="gramEnd"/>
      <w:r w:rsidRPr="009C4164">
        <w:rPr>
          <w:sz w:val="20"/>
          <w:szCs w:val="20"/>
          <w:lang w:val="ru-RU"/>
        </w:rPr>
        <w:t>інки (</w:t>
      </w:r>
      <w:r>
        <w:rPr>
          <w:sz w:val="20"/>
          <w:szCs w:val="20"/>
        </w:rPr>
        <w:t>Starr</w:t>
      </w:r>
      <w:r w:rsidRPr="009C4164">
        <w:rPr>
          <w:sz w:val="20"/>
          <w:szCs w:val="20"/>
          <w:lang w:val="ru-RU"/>
        </w:rPr>
        <w:t xml:space="preserve">, 2012).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У академічному та суспільному дискурсі існує низка пояснень цього феномену. Судді можуть сприймати жінок як менш винних у своїх злочинах, а також вважати, що вони становлять меншу небезпеку для суспільства і мають міцніші </w:t>
      </w:r>
      <w:r w:rsidRPr="009C4164">
        <w:rPr>
          <w:sz w:val="20"/>
          <w:szCs w:val="20"/>
          <w:lang w:val="ru-RU"/>
        </w:rPr>
        <w:t xml:space="preserve">зв'язки з сім'єю та громадою, </w:t>
      </w:r>
      <w:proofErr w:type="gramStart"/>
      <w:r w:rsidRPr="009C4164">
        <w:rPr>
          <w:sz w:val="20"/>
          <w:szCs w:val="20"/>
          <w:lang w:val="ru-RU"/>
        </w:rPr>
        <w:t>ніж</w:t>
      </w:r>
      <w:proofErr w:type="gramEnd"/>
      <w:r w:rsidRPr="009C4164">
        <w:rPr>
          <w:sz w:val="20"/>
          <w:szCs w:val="20"/>
          <w:lang w:val="ru-RU"/>
        </w:rPr>
        <w:t xml:space="preserve"> чоловіки (</w:t>
      </w:r>
      <w:r>
        <w:rPr>
          <w:sz w:val="20"/>
          <w:szCs w:val="20"/>
        </w:rPr>
        <w:t>Steffensmeier</w:t>
      </w:r>
      <w:r w:rsidRPr="009C4164">
        <w:rPr>
          <w:sz w:val="20"/>
          <w:szCs w:val="20"/>
          <w:lang w:val="ru-RU"/>
        </w:rPr>
        <w:t xml:space="preserve">, 1993). Цей патерн позначають як патерналістську опіку, що найвиразніше проявляються, коли до </w:t>
      </w:r>
      <w:r w:rsidRPr="009C4164">
        <w:rPr>
          <w:sz w:val="20"/>
          <w:szCs w:val="20"/>
          <w:lang w:val="ru-RU"/>
        </w:rPr>
        <w:lastRenderedPageBreak/>
        <w:t xml:space="preserve">молодших за віком </w:t>
      </w:r>
      <w:proofErr w:type="gramStart"/>
      <w:r w:rsidRPr="009C4164">
        <w:rPr>
          <w:sz w:val="20"/>
          <w:szCs w:val="20"/>
          <w:lang w:val="ru-RU"/>
        </w:rPr>
        <w:t>п</w:t>
      </w:r>
      <w:proofErr w:type="gramEnd"/>
      <w:r w:rsidRPr="009C4164">
        <w:rPr>
          <w:sz w:val="20"/>
          <w:szCs w:val="20"/>
          <w:lang w:val="ru-RU"/>
        </w:rPr>
        <w:t>ідсудних застосовують більш поблажливі міри покарання (</w:t>
      </w:r>
      <w:r>
        <w:rPr>
          <w:sz w:val="20"/>
          <w:szCs w:val="20"/>
        </w:rPr>
        <w:t>Nagel</w:t>
      </w:r>
      <w:r w:rsidRPr="009C4164">
        <w:rPr>
          <w:sz w:val="20"/>
          <w:szCs w:val="20"/>
          <w:lang w:val="ru-RU"/>
        </w:rPr>
        <w:t xml:space="preserve"> &amp; </w:t>
      </w:r>
      <w:r>
        <w:rPr>
          <w:sz w:val="20"/>
          <w:szCs w:val="20"/>
        </w:rPr>
        <w:t>Weitzman</w:t>
      </w:r>
      <w:r w:rsidRPr="009C4164">
        <w:rPr>
          <w:sz w:val="20"/>
          <w:szCs w:val="20"/>
          <w:lang w:val="ru-RU"/>
        </w:rPr>
        <w:t>, 1971). Окрем</w:t>
      </w:r>
      <w:r w:rsidRPr="009C4164">
        <w:rPr>
          <w:sz w:val="20"/>
          <w:szCs w:val="20"/>
          <w:lang w:val="ru-RU"/>
        </w:rPr>
        <w:t xml:space="preserve">і активістки виступають із феміністичною критикою м’якших вироків для жінок і стверджують, що йдеться про інфантилізацію, засновану на стереотипності, котра несумісна з ґендерною </w:t>
      </w:r>
      <w:proofErr w:type="gramStart"/>
      <w:r w:rsidRPr="009C4164">
        <w:rPr>
          <w:sz w:val="20"/>
          <w:szCs w:val="20"/>
          <w:lang w:val="ru-RU"/>
        </w:rPr>
        <w:t>р</w:t>
      </w:r>
      <w:proofErr w:type="gramEnd"/>
      <w:r w:rsidRPr="009C4164">
        <w:rPr>
          <w:sz w:val="20"/>
          <w:szCs w:val="20"/>
          <w:lang w:val="ru-RU"/>
        </w:rPr>
        <w:t>івністю (</w:t>
      </w:r>
      <w:r>
        <w:rPr>
          <w:sz w:val="20"/>
          <w:szCs w:val="20"/>
        </w:rPr>
        <w:t>Foges</w:t>
      </w:r>
      <w:r w:rsidRPr="009C4164">
        <w:rPr>
          <w:sz w:val="20"/>
          <w:szCs w:val="20"/>
          <w:lang w:val="ru-RU"/>
        </w:rPr>
        <w:t xml:space="preserve">, 2018).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Водночас, кримінологиня Меда Чесн</w:t>
      </w:r>
      <w:proofErr w:type="gramStart"/>
      <w:r w:rsidRPr="009C4164">
        <w:rPr>
          <w:sz w:val="20"/>
          <w:szCs w:val="20"/>
          <w:lang w:val="ru-RU"/>
        </w:rPr>
        <w:t>і-</w:t>
      </w:r>
      <w:proofErr w:type="gramEnd"/>
      <w:r w:rsidRPr="009C4164">
        <w:rPr>
          <w:sz w:val="20"/>
          <w:szCs w:val="20"/>
          <w:lang w:val="ru-RU"/>
        </w:rPr>
        <w:t>Лінд на прикладі</w:t>
      </w:r>
      <w:r w:rsidRPr="009C4164">
        <w:rPr>
          <w:sz w:val="20"/>
          <w:szCs w:val="20"/>
          <w:lang w:val="ru-RU"/>
        </w:rPr>
        <w:t xml:space="preserve"> Війни з наркотиками у США стверджує, що система кримінальної юстиції натепер навпаки більш схильна ув’язнювати жінок. Дійсно, з 1980-х у США </w:t>
      </w:r>
      <w:proofErr w:type="gramStart"/>
      <w:r w:rsidRPr="009C4164">
        <w:rPr>
          <w:sz w:val="20"/>
          <w:szCs w:val="20"/>
          <w:lang w:val="ru-RU"/>
        </w:rPr>
        <w:t>стр</w:t>
      </w:r>
      <w:proofErr w:type="gramEnd"/>
      <w:r w:rsidRPr="009C4164">
        <w:rPr>
          <w:sz w:val="20"/>
          <w:szCs w:val="20"/>
          <w:lang w:val="ru-RU"/>
        </w:rPr>
        <w:t>імко зростає частка жінок-ув’язнених. Дослідниця вважає, що більша частина зростання покарань для жінок пояснює</w:t>
      </w:r>
      <w:r w:rsidRPr="009C4164">
        <w:rPr>
          <w:sz w:val="20"/>
          <w:szCs w:val="20"/>
          <w:lang w:val="ru-RU"/>
        </w:rPr>
        <w:t xml:space="preserve">ться не збільшенням тяжкості злочинів, які вчиняють жінки, а Війною з наркотиками і її атрибутом </w:t>
      </w:r>
      <w:r w:rsidRPr="009C4164">
        <w:rPr>
          <w:sz w:val="20"/>
          <w:szCs w:val="20"/>
          <w:highlight w:val="white"/>
          <w:lang w:val="ru-RU"/>
        </w:rPr>
        <w:t>—</w:t>
      </w:r>
      <w:r w:rsidRPr="009C4164">
        <w:rPr>
          <w:sz w:val="20"/>
          <w:szCs w:val="20"/>
          <w:lang w:val="ru-RU"/>
        </w:rPr>
        <w:t xml:space="preserve"> результативному акценті на підвищенні покарання за зберігання і продаж наркотиків</w:t>
      </w:r>
      <w:proofErr w:type="gramStart"/>
      <w:r w:rsidRPr="009C4164">
        <w:rPr>
          <w:sz w:val="20"/>
          <w:szCs w:val="20"/>
          <w:lang w:val="ru-RU"/>
        </w:rPr>
        <w:t>.С</w:t>
      </w:r>
      <w:proofErr w:type="gramEnd"/>
      <w:r w:rsidRPr="009C4164">
        <w:rPr>
          <w:sz w:val="20"/>
          <w:szCs w:val="20"/>
          <w:lang w:val="ru-RU"/>
        </w:rPr>
        <w:t>права в тому, що в наркобізнесі також існує поняття скляної стелі: більшіс</w:t>
      </w:r>
      <w:r w:rsidRPr="009C4164">
        <w:rPr>
          <w:sz w:val="20"/>
          <w:szCs w:val="20"/>
          <w:lang w:val="ru-RU"/>
        </w:rPr>
        <w:t xml:space="preserve">ть жінок, залучених до наркобізнесу, працюють на нижчому щабелі ієрархії, </w:t>
      </w:r>
      <w:proofErr w:type="gramStart"/>
      <w:r w:rsidRPr="009C4164">
        <w:rPr>
          <w:sz w:val="20"/>
          <w:szCs w:val="20"/>
          <w:lang w:val="ru-RU"/>
        </w:rPr>
        <w:t>в</w:t>
      </w:r>
      <w:proofErr w:type="gramEnd"/>
      <w:r w:rsidRPr="009C4164">
        <w:rPr>
          <w:sz w:val="20"/>
          <w:szCs w:val="20"/>
          <w:lang w:val="ru-RU"/>
        </w:rPr>
        <w:t xml:space="preserve"> тому числі, безпосередньо розповсюджуючи наркотичні речовини до кінцевого покупця (власне, споживача). Концепція Війни з наркотиками передбачає зменшення пропозиції наркотичних реч</w:t>
      </w:r>
      <w:r w:rsidRPr="009C4164">
        <w:rPr>
          <w:sz w:val="20"/>
          <w:szCs w:val="20"/>
          <w:lang w:val="ru-RU"/>
        </w:rPr>
        <w:t>овин на ринку і зосереджує фокус саме на безпосередніх розповсюджувачів. Чесні-Лінд підсумовує, що</w:t>
      </w:r>
      <w:proofErr w:type="gramStart"/>
      <w:r w:rsidRPr="009C4164">
        <w:rPr>
          <w:sz w:val="20"/>
          <w:szCs w:val="20"/>
          <w:lang w:val="ru-RU"/>
        </w:rPr>
        <w:t xml:space="preserve"> В</w:t>
      </w:r>
      <w:proofErr w:type="gramEnd"/>
      <w:r w:rsidRPr="009C4164">
        <w:rPr>
          <w:sz w:val="20"/>
          <w:szCs w:val="20"/>
          <w:lang w:val="ru-RU"/>
        </w:rPr>
        <w:t>ійна з наркотиками стала війною з жінками (</w:t>
      </w:r>
      <w:r>
        <w:rPr>
          <w:sz w:val="20"/>
          <w:szCs w:val="20"/>
        </w:rPr>
        <w:t>Chesney</w:t>
      </w:r>
      <w:r w:rsidRPr="009C4164">
        <w:rPr>
          <w:sz w:val="20"/>
          <w:szCs w:val="20"/>
          <w:lang w:val="ru-RU"/>
        </w:rPr>
        <w:t>-</w:t>
      </w:r>
      <w:r>
        <w:rPr>
          <w:sz w:val="20"/>
          <w:szCs w:val="20"/>
        </w:rPr>
        <w:t>Lind</w:t>
      </w:r>
      <w:r w:rsidRPr="009C4164">
        <w:rPr>
          <w:sz w:val="20"/>
          <w:szCs w:val="20"/>
          <w:lang w:val="ru-RU"/>
        </w:rPr>
        <w:t xml:space="preserve">, 1995).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Варто, проте, застерегти від перенесення будь-яких висновків з однієї країни на іншу, а т</w:t>
      </w:r>
      <w:r w:rsidRPr="009C4164">
        <w:rPr>
          <w:sz w:val="20"/>
          <w:szCs w:val="20"/>
          <w:lang w:val="ru-RU"/>
        </w:rPr>
        <w:t>акож утриматись від зручних спрощень. У площині теоретичних дебатів йдеться про те, що “</w:t>
      </w:r>
      <w:proofErr w:type="gramStart"/>
      <w:r w:rsidRPr="009C4164">
        <w:rPr>
          <w:sz w:val="20"/>
          <w:szCs w:val="20"/>
          <w:lang w:val="ru-RU"/>
        </w:rPr>
        <w:t>р</w:t>
      </w:r>
      <w:proofErr w:type="gramEnd"/>
      <w:r w:rsidRPr="009C4164">
        <w:rPr>
          <w:sz w:val="20"/>
          <w:szCs w:val="20"/>
          <w:lang w:val="ru-RU"/>
        </w:rPr>
        <w:t>івність не означає однакового до всіх ставлення”, як це зазначила Джин Корстон у своєму звіті 2007 року про жінок з особливими вразливостями у системі кримінального пр</w:t>
      </w:r>
      <w:r w:rsidRPr="009C4164">
        <w:rPr>
          <w:sz w:val="20"/>
          <w:szCs w:val="20"/>
          <w:lang w:val="ru-RU"/>
        </w:rPr>
        <w:t>авосуддя у Великій Британії (</w:t>
      </w:r>
      <w:r>
        <w:rPr>
          <w:sz w:val="20"/>
          <w:szCs w:val="20"/>
        </w:rPr>
        <w:t>Corston</w:t>
      </w:r>
      <w:r w:rsidRPr="009C4164">
        <w:rPr>
          <w:sz w:val="20"/>
          <w:szCs w:val="20"/>
          <w:lang w:val="ru-RU"/>
        </w:rPr>
        <w:t xml:space="preserve">, 2007). У площині емпіричних </w:t>
      </w:r>
      <w:proofErr w:type="gramStart"/>
      <w:r w:rsidRPr="009C4164">
        <w:rPr>
          <w:sz w:val="20"/>
          <w:szCs w:val="20"/>
          <w:lang w:val="ru-RU"/>
        </w:rPr>
        <w:t>досл</w:t>
      </w:r>
      <w:proofErr w:type="gramEnd"/>
      <w:r w:rsidRPr="009C4164">
        <w:rPr>
          <w:sz w:val="20"/>
          <w:szCs w:val="20"/>
          <w:lang w:val="ru-RU"/>
        </w:rPr>
        <w:t xml:space="preserve">іджень важливо ретельно перевіряти гіпотези і враховувати контекст. Так, наразі вкрай бракує </w:t>
      </w:r>
      <w:proofErr w:type="gramStart"/>
      <w:r w:rsidRPr="009C4164">
        <w:rPr>
          <w:sz w:val="20"/>
          <w:szCs w:val="20"/>
          <w:lang w:val="ru-RU"/>
        </w:rPr>
        <w:t>досл</w:t>
      </w:r>
      <w:proofErr w:type="gramEnd"/>
      <w:r w:rsidRPr="009C4164">
        <w:rPr>
          <w:sz w:val="20"/>
          <w:szCs w:val="20"/>
          <w:lang w:val="ru-RU"/>
        </w:rPr>
        <w:t>іджень проведених на українському матеріалі. Ми прагнемо збагатити дослідження у цій сфер</w:t>
      </w:r>
      <w:r w:rsidRPr="009C4164">
        <w:rPr>
          <w:sz w:val="20"/>
          <w:szCs w:val="20"/>
          <w:lang w:val="ru-RU"/>
        </w:rPr>
        <w:t>і українським контекстом і водночас привернути увагу до більш нюансованого підходу щодо питання ґендерної рівності у системі кримінальної юстиції на прикладі аналізу наркополітики.</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b/>
          <w:sz w:val="20"/>
          <w:szCs w:val="20"/>
          <w:lang w:val="ru-RU"/>
        </w:rPr>
        <w:t>“Нерівні інституції”: поліція, суди та в’язниці в Україні</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Явище чоловіків</w:t>
      </w:r>
      <w:r w:rsidRPr="009C4164">
        <w:rPr>
          <w:sz w:val="20"/>
          <w:szCs w:val="20"/>
          <w:lang w:val="ru-RU"/>
        </w:rPr>
        <w:t>-злочинців набагато більш розповсюджене і у кримінології отримало назву “</w:t>
      </w:r>
      <w:r>
        <w:rPr>
          <w:sz w:val="20"/>
          <w:szCs w:val="20"/>
        </w:rPr>
        <w:t>gender</w:t>
      </w:r>
      <w:r w:rsidRPr="009C4164">
        <w:rPr>
          <w:sz w:val="20"/>
          <w:szCs w:val="20"/>
          <w:lang w:val="ru-RU"/>
        </w:rPr>
        <w:t xml:space="preserve"> </w:t>
      </w:r>
      <w:r>
        <w:rPr>
          <w:sz w:val="20"/>
          <w:szCs w:val="20"/>
        </w:rPr>
        <w:t>gap</w:t>
      </w:r>
      <w:r w:rsidRPr="009C4164">
        <w:rPr>
          <w:sz w:val="20"/>
          <w:szCs w:val="20"/>
          <w:lang w:val="ru-RU"/>
        </w:rPr>
        <w:t xml:space="preserve"> </w:t>
      </w:r>
      <w:r>
        <w:rPr>
          <w:sz w:val="20"/>
          <w:szCs w:val="20"/>
        </w:rPr>
        <w:t>in</w:t>
      </w:r>
      <w:r w:rsidRPr="009C4164">
        <w:rPr>
          <w:sz w:val="20"/>
          <w:szCs w:val="20"/>
          <w:lang w:val="ru-RU"/>
        </w:rPr>
        <w:t xml:space="preserve"> </w:t>
      </w:r>
      <w:r>
        <w:rPr>
          <w:sz w:val="20"/>
          <w:szCs w:val="20"/>
        </w:rPr>
        <w:t>crime</w:t>
      </w:r>
      <w:r w:rsidRPr="009C4164">
        <w:rPr>
          <w:sz w:val="20"/>
          <w:szCs w:val="20"/>
          <w:lang w:val="ru-RU"/>
        </w:rPr>
        <w:t xml:space="preserve">” (ґендерний розрив у злочинах). Чоловіки, наприклад, </w:t>
      </w:r>
      <w:proofErr w:type="gramStart"/>
      <w:r w:rsidRPr="009C4164">
        <w:rPr>
          <w:sz w:val="20"/>
          <w:szCs w:val="20"/>
          <w:lang w:val="ru-RU"/>
        </w:rPr>
        <w:t>част</w:t>
      </w:r>
      <w:proofErr w:type="gramEnd"/>
      <w:r w:rsidRPr="009C4164">
        <w:rPr>
          <w:sz w:val="20"/>
          <w:szCs w:val="20"/>
          <w:lang w:val="ru-RU"/>
        </w:rPr>
        <w:t>іше стають вбивцями, хоча і вбивають частіше за все інших чоловіків (</w:t>
      </w:r>
      <w:r>
        <w:rPr>
          <w:sz w:val="20"/>
          <w:szCs w:val="20"/>
        </w:rPr>
        <w:t>Homicide</w:t>
      </w:r>
      <w:r w:rsidRPr="009C4164">
        <w:rPr>
          <w:sz w:val="20"/>
          <w:szCs w:val="20"/>
          <w:lang w:val="ru-RU"/>
        </w:rPr>
        <w:t xml:space="preserve"> </w:t>
      </w:r>
      <w:r>
        <w:rPr>
          <w:sz w:val="20"/>
          <w:szCs w:val="20"/>
        </w:rPr>
        <w:t>and</w:t>
      </w:r>
      <w:r w:rsidRPr="009C4164">
        <w:rPr>
          <w:sz w:val="20"/>
          <w:szCs w:val="20"/>
          <w:lang w:val="ru-RU"/>
        </w:rPr>
        <w:t xml:space="preserve"> </w:t>
      </w:r>
      <w:r>
        <w:rPr>
          <w:sz w:val="20"/>
          <w:szCs w:val="20"/>
        </w:rPr>
        <w:t>Gender</w:t>
      </w:r>
      <w:r w:rsidRPr="009C4164">
        <w:rPr>
          <w:sz w:val="20"/>
          <w:szCs w:val="20"/>
          <w:lang w:val="ru-RU"/>
        </w:rPr>
        <w:t xml:space="preserve">, 2015). Водночас </w:t>
      </w:r>
      <w:r w:rsidRPr="009C4164">
        <w:rPr>
          <w:sz w:val="20"/>
          <w:szCs w:val="20"/>
          <w:lang w:val="ru-RU"/>
        </w:rPr>
        <w:t xml:space="preserve">ґендерні диспропорції у самих інституціях кримінальної юстиції впливають на те, кого затримують, хто опиняється на лаві </w:t>
      </w:r>
      <w:proofErr w:type="gramStart"/>
      <w:r w:rsidRPr="009C4164">
        <w:rPr>
          <w:sz w:val="20"/>
          <w:szCs w:val="20"/>
          <w:lang w:val="ru-RU"/>
        </w:rPr>
        <w:t>п</w:t>
      </w:r>
      <w:proofErr w:type="gramEnd"/>
      <w:r w:rsidRPr="009C4164">
        <w:rPr>
          <w:sz w:val="20"/>
          <w:szCs w:val="20"/>
          <w:lang w:val="ru-RU"/>
        </w:rPr>
        <w:t xml:space="preserve">ідсудних і кого відправляють за ґрати, надто коли йдеться про так звані “злочини без жертв”, до яких належить криміналізоване державою </w:t>
      </w:r>
      <w:r w:rsidRPr="009C4164">
        <w:rPr>
          <w:sz w:val="20"/>
          <w:szCs w:val="20"/>
          <w:lang w:val="ru-RU"/>
        </w:rPr>
        <w:t xml:space="preserve">виробництво, придбання або зберігання наркотичних засобів без мети збуту. </w:t>
      </w:r>
    </w:p>
    <w:p w:rsidR="00BA7A83" w:rsidRPr="009C4164" w:rsidRDefault="00BA7A83">
      <w:pPr>
        <w:jc w:val="both"/>
        <w:rPr>
          <w:sz w:val="20"/>
          <w:szCs w:val="20"/>
          <w:lang w:val="ru-RU"/>
        </w:rPr>
      </w:pPr>
    </w:p>
    <w:p w:rsidR="00BA7A83" w:rsidRPr="009C4164" w:rsidRDefault="009C4164">
      <w:pPr>
        <w:jc w:val="both"/>
        <w:rPr>
          <w:sz w:val="20"/>
          <w:szCs w:val="20"/>
          <w:highlight w:val="white"/>
          <w:lang w:val="ru-RU"/>
        </w:rPr>
      </w:pPr>
      <w:r w:rsidRPr="009C4164">
        <w:rPr>
          <w:sz w:val="20"/>
          <w:szCs w:val="20"/>
          <w:lang w:val="ru-RU"/>
        </w:rPr>
        <w:t xml:space="preserve">“Вони не можуть її обшукати” </w:t>
      </w:r>
      <w:r w:rsidRPr="009C4164">
        <w:rPr>
          <w:sz w:val="20"/>
          <w:szCs w:val="20"/>
          <w:highlight w:val="white"/>
          <w:lang w:val="ru-RU"/>
        </w:rPr>
        <w:t xml:space="preserve">— так промовисто назвала свою статтю група американських </w:t>
      </w:r>
      <w:proofErr w:type="gramStart"/>
      <w:r w:rsidRPr="009C4164">
        <w:rPr>
          <w:sz w:val="20"/>
          <w:szCs w:val="20"/>
          <w:highlight w:val="white"/>
          <w:lang w:val="ru-RU"/>
        </w:rPr>
        <w:t>досл</w:t>
      </w:r>
      <w:proofErr w:type="gramEnd"/>
      <w:r w:rsidRPr="009C4164">
        <w:rPr>
          <w:sz w:val="20"/>
          <w:szCs w:val="20"/>
          <w:highlight w:val="white"/>
          <w:lang w:val="ru-RU"/>
        </w:rPr>
        <w:t>ідниць (</w:t>
      </w:r>
      <w:r>
        <w:rPr>
          <w:sz w:val="20"/>
          <w:szCs w:val="20"/>
          <w:highlight w:val="white"/>
        </w:rPr>
        <w:t>Novich</w:t>
      </w:r>
      <w:r w:rsidRPr="009C4164">
        <w:rPr>
          <w:sz w:val="20"/>
          <w:szCs w:val="20"/>
          <w:highlight w:val="white"/>
          <w:lang w:val="ru-RU"/>
        </w:rPr>
        <w:t xml:space="preserve"> </w:t>
      </w:r>
      <w:r>
        <w:rPr>
          <w:sz w:val="20"/>
          <w:szCs w:val="20"/>
          <w:highlight w:val="white"/>
        </w:rPr>
        <w:t>et</w:t>
      </w:r>
      <w:r w:rsidRPr="009C4164">
        <w:rPr>
          <w:sz w:val="20"/>
          <w:szCs w:val="20"/>
          <w:highlight w:val="white"/>
          <w:lang w:val="ru-RU"/>
        </w:rPr>
        <w:t xml:space="preserve"> </w:t>
      </w:r>
      <w:r>
        <w:rPr>
          <w:sz w:val="20"/>
          <w:szCs w:val="20"/>
          <w:highlight w:val="white"/>
        </w:rPr>
        <w:t>al</w:t>
      </w:r>
      <w:r w:rsidRPr="009C4164">
        <w:rPr>
          <w:sz w:val="20"/>
          <w:szCs w:val="20"/>
          <w:highlight w:val="white"/>
          <w:lang w:val="ru-RU"/>
        </w:rPr>
        <w:t>., 2018), які на прикладі учасників і учасниць банди у Сан-Франциско (</w:t>
      </w:r>
      <w:r w:rsidRPr="009C4164">
        <w:rPr>
          <w:sz w:val="20"/>
          <w:szCs w:val="20"/>
          <w:highlight w:val="white"/>
          <w:lang w:val="ru-RU"/>
        </w:rPr>
        <w:t>Каліфорнія, США), що торгує наркотиками, висвітлили також і проблему ґендерного дисбалансу в американській поліції. Теоретичним підґрунтям даної роботи слугує теорія процедурної справедливості, відповідно до якої люди очікують, що поліцейські будуть поводи</w:t>
      </w:r>
      <w:r w:rsidRPr="009C4164">
        <w:rPr>
          <w:sz w:val="20"/>
          <w:szCs w:val="20"/>
          <w:highlight w:val="white"/>
          <w:lang w:val="ru-RU"/>
        </w:rPr>
        <w:t xml:space="preserve">тись з ними однаково, незалежно від раси, класу, сексуальної орієнтації чи </w:t>
      </w:r>
      <w:proofErr w:type="gramStart"/>
      <w:r w:rsidRPr="009C4164">
        <w:rPr>
          <w:sz w:val="20"/>
          <w:szCs w:val="20"/>
          <w:highlight w:val="white"/>
          <w:lang w:val="ru-RU"/>
        </w:rPr>
        <w:t>стат</w:t>
      </w:r>
      <w:proofErr w:type="gramEnd"/>
      <w:r w:rsidRPr="009C4164">
        <w:rPr>
          <w:sz w:val="20"/>
          <w:szCs w:val="20"/>
          <w:highlight w:val="white"/>
          <w:lang w:val="ru-RU"/>
        </w:rPr>
        <w:t>і (</w:t>
      </w:r>
      <w:r>
        <w:rPr>
          <w:sz w:val="20"/>
          <w:szCs w:val="20"/>
          <w:highlight w:val="white"/>
        </w:rPr>
        <w:t>Tyler</w:t>
      </w:r>
      <w:r w:rsidRPr="009C4164">
        <w:rPr>
          <w:sz w:val="20"/>
          <w:szCs w:val="20"/>
          <w:highlight w:val="white"/>
          <w:lang w:val="ru-RU"/>
        </w:rPr>
        <w:t xml:space="preserve">, 2006). </w:t>
      </w:r>
      <w:proofErr w:type="gramStart"/>
      <w:r w:rsidRPr="009C4164">
        <w:rPr>
          <w:sz w:val="20"/>
          <w:szCs w:val="20"/>
          <w:highlight w:val="white"/>
          <w:lang w:val="ru-RU"/>
        </w:rPr>
        <w:t>Досл</w:t>
      </w:r>
      <w:proofErr w:type="gramEnd"/>
      <w:r w:rsidRPr="009C4164">
        <w:rPr>
          <w:sz w:val="20"/>
          <w:szCs w:val="20"/>
          <w:highlight w:val="white"/>
          <w:lang w:val="ru-RU"/>
        </w:rPr>
        <w:t xml:space="preserve">ідниці звертають увагу, що в середньому лише 12% поліцейських відділків у США становлять жінки. </w:t>
      </w:r>
      <w:proofErr w:type="gramStart"/>
      <w:r w:rsidRPr="009C4164">
        <w:rPr>
          <w:sz w:val="20"/>
          <w:szCs w:val="20"/>
          <w:highlight w:val="white"/>
          <w:lang w:val="ru-RU"/>
        </w:rPr>
        <w:t>З</w:t>
      </w:r>
      <w:proofErr w:type="gramEnd"/>
      <w:r w:rsidRPr="009C4164">
        <w:rPr>
          <w:sz w:val="20"/>
          <w:szCs w:val="20"/>
          <w:highlight w:val="white"/>
          <w:lang w:val="ru-RU"/>
        </w:rPr>
        <w:t xml:space="preserve"> огляду на те, що затримана жінка має право вимагати надати</w:t>
      </w:r>
      <w:r w:rsidRPr="009C4164">
        <w:rPr>
          <w:sz w:val="20"/>
          <w:szCs w:val="20"/>
          <w:highlight w:val="white"/>
          <w:lang w:val="ru-RU"/>
        </w:rPr>
        <w:t xml:space="preserve"> їй представника правоохоронних органів своєї статі для проведення обшуку, за відсутності ґендерного балансу серед правоохоронців, можливості для обшуку та затримання жінки-правопорушниці обмежуються. Тому поліціювання продажу наркотиків переважно зводитьс</w:t>
      </w:r>
      <w:r w:rsidRPr="009C4164">
        <w:rPr>
          <w:sz w:val="20"/>
          <w:szCs w:val="20"/>
          <w:highlight w:val="white"/>
          <w:lang w:val="ru-RU"/>
        </w:rPr>
        <w:t xml:space="preserve">я до того, що офіцери-чоловіки здійснюють обшук </w:t>
      </w:r>
      <w:proofErr w:type="gramStart"/>
      <w:r w:rsidRPr="009C4164">
        <w:rPr>
          <w:sz w:val="20"/>
          <w:szCs w:val="20"/>
          <w:highlight w:val="white"/>
          <w:lang w:val="ru-RU"/>
        </w:rPr>
        <w:t>осіб</w:t>
      </w:r>
      <w:proofErr w:type="gramEnd"/>
      <w:r w:rsidRPr="009C4164">
        <w:rPr>
          <w:sz w:val="20"/>
          <w:szCs w:val="20"/>
          <w:highlight w:val="white"/>
          <w:lang w:val="ru-RU"/>
        </w:rPr>
        <w:t xml:space="preserve"> своєї ж статті. </w:t>
      </w:r>
    </w:p>
    <w:p w:rsidR="00BA7A83" w:rsidRPr="009C4164" w:rsidRDefault="00BA7A83">
      <w:pPr>
        <w:jc w:val="both"/>
        <w:rPr>
          <w:sz w:val="20"/>
          <w:szCs w:val="20"/>
          <w:highlight w:val="white"/>
          <w:lang w:val="ru-RU"/>
        </w:rPr>
      </w:pPr>
    </w:p>
    <w:p w:rsidR="00BA7A83" w:rsidRPr="009C4164" w:rsidRDefault="009C4164">
      <w:pPr>
        <w:jc w:val="both"/>
        <w:rPr>
          <w:sz w:val="20"/>
          <w:szCs w:val="20"/>
          <w:highlight w:val="white"/>
          <w:lang w:val="ru-RU"/>
        </w:rPr>
      </w:pPr>
      <w:r w:rsidRPr="009C4164">
        <w:rPr>
          <w:sz w:val="20"/>
          <w:szCs w:val="20"/>
          <w:highlight w:val="white"/>
          <w:lang w:val="ru-RU"/>
        </w:rPr>
        <w:t>Щодо України, то в останні роки спостерігається зменшення кількості жінок, які працюють в поліції:  якщо у 2016 році жінки-поліцейські становили 26%, то у 2019 році їх залишилося близьк</w:t>
      </w:r>
      <w:r w:rsidRPr="009C4164">
        <w:rPr>
          <w:sz w:val="20"/>
          <w:szCs w:val="20"/>
          <w:highlight w:val="white"/>
          <w:lang w:val="ru-RU"/>
        </w:rPr>
        <w:t>о 17% (</w:t>
      </w:r>
      <w:r>
        <w:rPr>
          <w:sz w:val="20"/>
          <w:szCs w:val="20"/>
          <w:highlight w:val="white"/>
        </w:rPr>
        <w:t>Uplan</w:t>
      </w:r>
      <w:r w:rsidRPr="009C4164">
        <w:rPr>
          <w:sz w:val="20"/>
          <w:szCs w:val="20"/>
          <w:highlight w:val="white"/>
          <w:lang w:val="ru-RU"/>
        </w:rPr>
        <w:t xml:space="preserve">). </w:t>
      </w:r>
      <w:proofErr w:type="gramStart"/>
      <w:r w:rsidRPr="009C4164">
        <w:rPr>
          <w:sz w:val="20"/>
          <w:szCs w:val="20"/>
          <w:highlight w:val="white"/>
          <w:lang w:val="ru-RU"/>
        </w:rPr>
        <w:t>З</w:t>
      </w:r>
      <w:proofErr w:type="gramEnd"/>
      <w:r w:rsidRPr="009C4164">
        <w:rPr>
          <w:sz w:val="20"/>
          <w:szCs w:val="20"/>
          <w:highlight w:val="white"/>
          <w:lang w:val="ru-RU"/>
        </w:rPr>
        <w:t xml:space="preserve"> певною обережністю, можемо припустити, що в українському контексті диспропорції у ґендерному складі українських органів правопорядку можуть стимулювати подібні викривлення у поліціюванні сфери торгівлі наркотиками. Авторки вищезгаданої ста</w:t>
      </w:r>
      <w:r w:rsidRPr="009C4164">
        <w:rPr>
          <w:sz w:val="20"/>
          <w:szCs w:val="20"/>
          <w:highlight w:val="white"/>
          <w:lang w:val="ru-RU"/>
        </w:rPr>
        <w:t xml:space="preserve">тті приходять до висновків, що процедурно </w:t>
      </w:r>
      <w:proofErr w:type="gramStart"/>
      <w:r w:rsidRPr="009C4164">
        <w:rPr>
          <w:sz w:val="20"/>
          <w:szCs w:val="20"/>
          <w:highlight w:val="white"/>
          <w:lang w:val="ru-RU"/>
        </w:rPr>
        <w:t>несправедлива</w:t>
      </w:r>
      <w:proofErr w:type="gramEnd"/>
      <w:r w:rsidRPr="009C4164">
        <w:rPr>
          <w:sz w:val="20"/>
          <w:szCs w:val="20"/>
          <w:highlight w:val="white"/>
          <w:lang w:val="ru-RU"/>
        </w:rPr>
        <w:t xml:space="preserve"> поведінка поліції є системною проблемою, бо вже сам ґендерний склад поліції сам по собі створює несправедливу систему (</w:t>
      </w:r>
      <w:r>
        <w:rPr>
          <w:sz w:val="20"/>
          <w:szCs w:val="20"/>
          <w:highlight w:val="white"/>
        </w:rPr>
        <w:t>Novich</w:t>
      </w:r>
      <w:r w:rsidRPr="009C4164">
        <w:rPr>
          <w:sz w:val="20"/>
          <w:szCs w:val="20"/>
          <w:highlight w:val="white"/>
          <w:lang w:val="ru-RU"/>
        </w:rPr>
        <w:t xml:space="preserve"> </w:t>
      </w:r>
      <w:r>
        <w:rPr>
          <w:sz w:val="20"/>
          <w:szCs w:val="20"/>
          <w:highlight w:val="white"/>
        </w:rPr>
        <w:t>et</w:t>
      </w:r>
      <w:r w:rsidRPr="009C4164">
        <w:rPr>
          <w:sz w:val="20"/>
          <w:szCs w:val="20"/>
          <w:highlight w:val="white"/>
          <w:lang w:val="ru-RU"/>
        </w:rPr>
        <w:t xml:space="preserve"> </w:t>
      </w:r>
      <w:r>
        <w:rPr>
          <w:sz w:val="20"/>
          <w:szCs w:val="20"/>
          <w:highlight w:val="white"/>
        </w:rPr>
        <w:t>al</w:t>
      </w:r>
      <w:r w:rsidRPr="009C4164">
        <w:rPr>
          <w:sz w:val="20"/>
          <w:szCs w:val="20"/>
          <w:highlight w:val="white"/>
          <w:lang w:val="ru-RU"/>
        </w:rPr>
        <w:t xml:space="preserve">., 2018). </w:t>
      </w:r>
    </w:p>
    <w:p w:rsidR="00BA7A83" w:rsidRPr="009C4164" w:rsidRDefault="00BA7A83">
      <w:pPr>
        <w:jc w:val="both"/>
        <w:rPr>
          <w:sz w:val="20"/>
          <w:szCs w:val="20"/>
          <w:highlight w:val="white"/>
          <w:lang w:val="ru-RU"/>
        </w:rPr>
      </w:pPr>
    </w:p>
    <w:p w:rsidR="00BA7A83" w:rsidRPr="009C4164" w:rsidRDefault="009C4164">
      <w:pPr>
        <w:jc w:val="both"/>
        <w:rPr>
          <w:sz w:val="20"/>
          <w:szCs w:val="20"/>
          <w:highlight w:val="white"/>
          <w:lang w:val="ru-RU"/>
        </w:rPr>
      </w:pPr>
      <w:r w:rsidRPr="009C4164">
        <w:rPr>
          <w:sz w:val="20"/>
          <w:szCs w:val="20"/>
          <w:highlight w:val="white"/>
          <w:lang w:val="ru-RU"/>
        </w:rPr>
        <w:t xml:space="preserve">Результати їхнього </w:t>
      </w:r>
      <w:proofErr w:type="gramStart"/>
      <w:r w:rsidRPr="009C4164">
        <w:rPr>
          <w:sz w:val="20"/>
          <w:szCs w:val="20"/>
          <w:highlight w:val="white"/>
          <w:lang w:val="ru-RU"/>
        </w:rPr>
        <w:t>досл</w:t>
      </w:r>
      <w:proofErr w:type="gramEnd"/>
      <w:r w:rsidRPr="009C4164">
        <w:rPr>
          <w:sz w:val="20"/>
          <w:szCs w:val="20"/>
          <w:highlight w:val="white"/>
          <w:lang w:val="ru-RU"/>
        </w:rPr>
        <w:t xml:space="preserve">ідження показують, що жінок не так часто обшукують,  а відповідно вони рідше піддаються арештам. </w:t>
      </w:r>
      <w:proofErr w:type="gramStart"/>
      <w:r w:rsidRPr="009C4164">
        <w:rPr>
          <w:sz w:val="20"/>
          <w:szCs w:val="20"/>
          <w:highlight w:val="white"/>
          <w:lang w:val="ru-RU"/>
        </w:rPr>
        <w:t>Кр</w:t>
      </w:r>
      <w:proofErr w:type="gramEnd"/>
      <w:r w:rsidRPr="009C4164">
        <w:rPr>
          <w:sz w:val="20"/>
          <w:szCs w:val="20"/>
          <w:highlight w:val="white"/>
          <w:lang w:val="ru-RU"/>
        </w:rPr>
        <w:t>ім того, жінки не піддавались таким самих інвазивним обшукам, як їх колеги-чоловіки, а обмежена можливість перевірок підозрюваних жіно</w:t>
      </w:r>
      <w:r w:rsidRPr="009C4164">
        <w:rPr>
          <w:sz w:val="20"/>
          <w:szCs w:val="20"/>
          <w:highlight w:val="white"/>
          <w:lang w:val="ru-RU"/>
        </w:rPr>
        <w:t>к означала, що вони могли б уникнути контролю злочинної поведінки частіше, ніж чоловіки. Кілька членів банди припустили, що відсутність жінок-офіцері</w:t>
      </w:r>
      <w:proofErr w:type="gramStart"/>
      <w:r w:rsidRPr="009C4164">
        <w:rPr>
          <w:sz w:val="20"/>
          <w:szCs w:val="20"/>
          <w:highlight w:val="white"/>
          <w:lang w:val="ru-RU"/>
        </w:rPr>
        <w:t>в</w:t>
      </w:r>
      <w:proofErr w:type="gramEnd"/>
      <w:r w:rsidRPr="009C4164">
        <w:rPr>
          <w:sz w:val="20"/>
          <w:szCs w:val="20"/>
          <w:highlight w:val="white"/>
          <w:lang w:val="ru-RU"/>
        </w:rPr>
        <w:t xml:space="preserve"> прямо сприяла цьому дисбалансу. Проте, порівняно кращі структурні умови </w:t>
      </w:r>
      <w:proofErr w:type="gramStart"/>
      <w:r w:rsidRPr="009C4164">
        <w:rPr>
          <w:sz w:val="20"/>
          <w:szCs w:val="20"/>
          <w:highlight w:val="white"/>
          <w:lang w:val="ru-RU"/>
        </w:rPr>
        <w:t>для ж</w:t>
      </w:r>
      <w:proofErr w:type="gramEnd"/>
      <w:r w:rsidRPr="009C4164">
        <w:rPr>
          <w:sz w:val="20"/>
          <w:szCs w:val="20"/>
          <w:highlight w:val="white"/>
          <w:lang w:val="ru-RU"/>
        </w:rPr>
        <w:t>інок-продавчинь наркотиків д</w:t>
      </w:r>
      <w:r w:rsidRPr="009C4164">
        <w:rPr>
          <w:sz w:val="20"/>
          <w:szCs w:val="20"/>
          <w:highlight w:val="white"/>
          <w:lang w:val="ru-RU"/>
        </w:rPr>
        <w:t xml:space="preserve">иктують і побічну дію. Оскільки, цей факт добре відомий членам банд, то з’являються додаткові стимули активніше втягувати жінок </w:t>
      </w:r>
      <w:proofErr w:type="gramStart"/>
      <w:r w:rsidRPr="009C4164">
        <w:rPr>
          <w:sz w:val="20"/>
          <w:szCs w:val="20"/>
          <w:highlight w:val="white"/>
          <w:lang w:val="ru-RU"/>
        </w:rPr>
        <w:t>у</w:t>
      </w:r>
      <w:proofErr w:type="gramEnd"/>
      <w:r w:rsidRPr="009C4164">
        <w:rPr>
          <w:sz w:val="20"/>
          <w:szCs w:val="20"/>
          <w:highlight w:val="white"/>
          <w:lang w:val="ru-RU"/>
        </w:rPr>
        <w:t xml:space="preserve"> торгівлю наркотиками. </w:t>
      </w:r>
    </w:p>
    <w:p w:rsidR="00BA7A83" w:rsidRPr="009C4164" w:rsidRDefault="00BA7A83">
      <w:pPr>
        <w:jc w:val="both"/>
        <w:rPr>
          <w:sz w:val="20"/>
          <w:szCs w:val="20"/>
          <w:highlight w:val="white"/>
          <w:lang w:val="ru-RU"/>
        </w:rPr>
      </w:pPr>
    </w:p>
    <w:p w:rsidR="00BA7A83" w:rsidRPr="009C4164" w:rsidRDefault="009C4164">
      <w:pPr>
        <w:jc w:val="both"/>
        <w:rPr>
          <w:sz w:val="20"/>
          <w:szCs w:val="20"/>
          <w:lang w:val="ru-RU"/>
        </w:rPr>
      </w:pPr>
      <w:proofErr w:type="gramStart"/>
      <w:r w:rsidRPr="009C4164">
        <w:rPr>
          <w:sz w:val="20"/>
          <w:szCs w:val="20"/>
          <w:lang w:val="ru-RU"/>
        </w:rPr>
        <w:t>Св</w:t>
      </w:r>
      <w:proofErr w:type="gramEnd"/>
      <w:r w:rsidRPr="009C4164">
        <w:rPr>
          <w:sz w:val="20"/>
          <w:szCs w:val="20"/>
          <w:lang w:val="ru-RU"/>
        </w:rPr>
        <w:t>ітовий тренд свідчить про зростання кількості жінок, які вчиняють злочини, оскільки інші соціально-е</w:t>
      </w:r>
      <w:r w:rsidRPr="009C4164">
        <w:rPr>
          <w:sz w:val="20"/>
          <w:szCs w:val="20"/>
          <w:lang w:val="ru-RU"/>
        </w:rPr>
        <w:t xml:space="preserve">кономічні та ґендерні розриви скорочуються. Найчастіше жінки вчиняють майнові злочини (крадіжки, шахрайство) та злочини, </w:t>
      </w:r>
      <w:proofErr w:type="gramStart"/>
      <w:r w:rsidRPr="009C4164">
        <w:rPr>
          <w:sz w:val="20"/>
          <w:szCs w:val="20"/>
          <w:lang w:val="ru-RU"/>
        </w:rPr>
        <w:t>пов’язан</w:t>
      </w:r>
      <w:proofErr w:type="gramEnd"/>
      <w:r w:rsidRPr="009C4164">
        <w:rPr>
          <w:sz w:val="20"/>
          <w:szCs w:val="20"/>
          <w:lang w:val="ru-RU"/>
        </w:rPr>
        <w:t>і з наркотиками (</w:t>
      </w:r>
      <w:r>
        <w:rPr>
          <w:sz w:val="20"/>
          <w:szCs w:val="20"/>
        </w:rPr>
        <w:t>Campaniello</w:t>
      </w:r>
      <w:r w:rsidRPr="009C4164">
        <w:rPr>
          <w:sz w:val="20"/>
          <w:szCs w:val="20"/>
          <w:lang w:val="ru-RU"/>
        </w:rPr>
        <w:t xml:space="preserve">, 2019). Попередні розвідки жіночої злочинності в українському контексті </w:t>
      </w:r>
      <w:proofErr w:type="gramStart"/>
      <w:r w:rsidRPr="009C4164">
        <w:rPr>
          <w:sz w:val="20"/>
          <w:szCs w:val="20"/>
          <w:lang w:val="ru-RU"/>
        </w:rPr>
        <w:t>п</w:t>
      </w:r>
      <w:proofErr w:type="gramEnd"/>
      <w:r w:rsidRPr="009C4164">
        <w:rPr>
          <w:sz w:val="20"/>
          <w:szCs w:val="20"/>
          <w:lang w:val="ru-RU"/>
        </w:rPr>
        <w:t>ідтверджували цей загальн</w:t>
      </w:r>
      <w:r w:rsidRPr="009C4164">
        <w:rPr>
          <w:sz w:val="20"/>
          <w:szCs w:val="20"/>
          <w:lang w:val="ru-RU"/>
        </w:rPr>
        <w:t xml:space="preserve">освітовий феномен. Зокрема, Олена Суслова акцентувала у своїй роботі, що у 2000-х жіноча злочинність зросла майже вдвічі у порівнянні з 1990-ми. Її питома вага у загальній структурі зареєстрованих злочинів </w:t>
      </w:r>
      <w:proofErr w:type="gramStart"/>
      <w:r w:rsidRPr="009C4164">
        <w:rPr>
          <w:sz w:val="20"/>
          <w:szCs w:val="20"/>
          <w:lang w:val="ru-RU"/>
        </w:rPr>
        <w:t>в</w:t>
      </w:r>
      <w:proofErr w:type="gramEnd"/>
      <w:r w:rsidRPr="009C4164">
        <w:rPr>
          <w:sz w:val="20"/>
          <w:szCs w:val="20"/>
          <w:lang w:val="ru-RU"/>
        </w:rPr>
        <w:t xml:space="preserve"> середньому складала 14-15%, а співвідношення жін</w:t>
      </w:r>
      <w:r w:rsidRPr="009C4164">
        <w:rPr>
          <w:sz w:val="20"/>
          <w:szCs w:val="20"/>
          <w:lang w:val="ru-RU"/>
        </w:rPr>
        <w:t xml:space="preserve">очої і чоловічої злочинності становило 1 до 6. </w:t>
      </w:r>
      <w:proofErr w:type="gramStart"/>
      <w:r w:rsidRPr="009C4164">
        <w:rPr>
          <w:sz w:val="20"/>
          <w:szCs w:val="20"/>
          <w:lang w:val="ru-RU"/>
        </w:rPr>
        <w:t>Досл</w:t>
      </w:r>
      <w:proofErr w:type="gramEnd"/>
      <w:r w:rsidRPr="009C4164">
        <w:rPr>
          <w:sz w:val="20"/>
          <w:szCs w:val="20"/>
          <w:lang w:val="ru-RU"/>
        </w:rPr>
        <w:t xml:space="preserve">ідниця також звертає увагу на те, що часто жінки входять до змішаних злочинних груп, а їхня роль у груповій динаміці стає більш вагомою, подекуди і вирішальною (Суслова, 2004). </w:t>
      </w:r>
    </w:p>
    <w:p w:rsidR="00BA7A83" w:rsidRPr="009C4164" w:rsidRDefault="00BA7A83">
      <w:pPr>
        <w:jc w:val="both"/>
        <w:rPr>
          <w:sz w:val="20"/>
          <w:szCs w:val="20"/>
          <w:highlight w:val="white"/>
          <w:lang w:val="ru-RU"/>
        </w:rPr>
      </w:pPr>
    </w:p>
    <w:p w:rsidR="00BA7A83" w:rsidRPr="009C4164" w:rsidRDefault="009C4164">
      <w:pPr>
        <w:jc w:val="both"/>
        <w:rPr>
          <w:sz w:val="20"/>
          <w:szCs w:val="20"/>
          <w:lang w:val="ru-RU"/>
        </w:rPr>
      </w:pPr>
      <w:r w:rsidRPr="009C4164">
        <w:rPr>
          <w:sz w:val="20"/>
          <w:szCs w:val="20"/>
          <w:highlight w:val="white"/>
          <w:lang w:val="ru-RU"/>
        </w:rPr>
        <w:t>Власне, з</w:t>
      </w:r>
      <w:r w:rsidRPr="009C4164">
        <w:rPr>
          <w:sz w:val="20"/>
          <w:szCs w:val="20"/>
          <w:lang w:val="ru-RU"/>
        </w:rPr>
        <w:t xml:space="preserve"> 2000 року у </w:t>
      </w:r>
      <w:proofErr w:type="gramStart"/>
      <w:r w:rsidRPr="009C4164">
        <w:rPr>
          <w:sz w:val="20"/>
          <w:szCs w:val="20"/>
          <w:lang w:val="ru-RU"/>
        </w:rPr>
        <w:t>св</w:t>
      </w:r>
      <w:proofErr w:type="gramEnd"/>
      <w:r w:rsidRPr="009C4164">
        <w:rPr>
          <w:sz w:val="20"/>
          <w:szCs w:val="20"/>
          <w:lang w:val="ru-RU"/>
        </w:rPr>
        <w:t>іт</w:t>
      </w:r>
      <w:r w:rsidRPr="009C4164">
        <w:rPr>
          <w:sz w:val="20"/>
          <w:szCs w:val="20"/>
          <w:lang w:val="ru-RU"/>
        </w:rPr>
        <w:t xml:space="preserve">і спостерігається </w:t>
      </w:r>
      <w:hyperlink r:id="rId6">
        <w:r w:rsidRPr="009C4164">
          <w:rPr>
            <w:color w:val="1155CC"/>
            <w:sz w:val="20"/>
            <w:szCs w:val="20"/>
            <w:u w:val="single"/>
            <w:lang w:val="ru-RU"/>
          </w:rPr>
          <w:t>тренд</w:t>
        </w:r>
      </w:hyperlink>
      <w:r w:rsidRPr="009C4164">
        <w:rPr>
          <w:sz w:val="20"/>
          <w:szCs w:val="20"/>
          <w:lang w:val="ru-RU"/>
        </w:rPr>
        <w:t xml:space="preserve"> і на</w:t>
      </w:r>
      <w:r w:rsidRPr="009C4164">
        <w:rPr>
          <w:sz w:val="20"/>
          <w:szCs w:val="20"/>
          <w:lang w:val="ru-RU"/>
        </w:rPr>
        <w:t xml:space="preserve"> збільшення частки жінок в місцях позбавлення волі, при цьому рівень чоловічого тюремного населення зростає повільніше. Так, у 2017 році жінки становили 7% тюремного населення всього </w:t>
      </w:r>
      <w:proofErr w:type="gramStart"/>
      <w:r w:rsidRPr="009C4164">
        <w:rPr>
          <w:sz w:val="20"/>
          <w:szCs w:val="20"/>
          <w:lang w:val="ru-RU"/>
        </w:rPr>
        <w:t>св</w:t>
      </w:r>
      <w:proofErr w:type="gramEnd"/>
      <w:r w:rsidRPr="009C4164">
        <w:rPr>
          <w:sz w:val="20"/>
          <w:szCs w:val="20"/>
          <w:lang w:val="ru-RU"/>
        </w:rPr>
        <w:t>іту. Найбільша частка жінок серед усіх ув’язнених в Гонконзі (20%), Лао</w:t>
      </w:r>
      <w:r w:rsidRPr="009C4164">
        <w:rPr>
          <w:sz w:val="20"/>
          <w:szCs w:val="20"/>
          <w:lang w:val="ru-RU"/>
        </w:rPr>
        <w:t>сі (14%), Арабських</w:t>
      </w:r>
      <w:proofErr w:type="gramStart"/>
      <w:r w:rsidRPr="009C4164">
        <w:rPr>
          <w:sz w:val="20"/>
          <w:szCs w:val="20"/>
          <w:lang w:val="ru-RU"/>
        </w:rPr>
        <w:t xml:space="preserve"> Е</w:t>
      </w:r>
      <w:proofErr w:type="gramEnd"/>
      <w:r w:rsidRPr="009C4164">
        <w:rPr>
          <w:sz w:val="20"/>
          <w:szCs w:val="20"/>
          <w:lang w:val="ru-RU"/>
        </w:rPr>
        <w:t xml:space="preserve">міратах (12%), Росії (8,1). В Україні частка жінок-ув’язнених становить 3,9%. Це відносно незначна цифра, котра порівнюється із ситуацією в </w:t>
      </w:r>
      <w:proofErr w:type="gramStart"/>
      <w:r w:rsidRPr="009C4164">
        <w:rPr>
          <w:sz w:val="20"/>
          <w:szCs w:val="20"/>
          <w:lang w:val="ru-RU"/>
        </w:rPr>
        <w:t>країнах</w:t>
      </w:r>
      <w:proofErr w:type="gramEnd"/>
      <w:r w:rsidRPr="009C4164">
        <w:rPr>
          <w:sz w:val="20"/>
          <w:szCs w:val="20"/>
          <w:lang w:val="ru-RU"/>
        </w:rPr>
        <w:t xml:space="preserve"> Європи. Для порівняння в </w:t>
      </w:r>
      <w:proofErr w:type="gramStart"/>
      <w:r w:rsidRPr="009C4164">
        <w:rPr>
          <w:sz w:val="20"/>
          <w:szCs w:val="20"/>
          <w:lang w:val="ru-RU"/>
        </w:rPr>
        <w:t>Англ</w:t>
      </w:r>
      <w:proofErr w:type="gramEnd"/>
      <w:r w:rsidRPr="009C4164">
        <w:rPr>
          <w:sz w:val="20"/>
          <w:szCs w:val="20"/>
          <w:lang w:val="ru-RU"/>
        </w:rPr>
        <w:t>ії та Уельсі – 4%, в Нідерландах – 5,4%, в Німеччині – 5,6</w:t>
      </w:r>
      <w:r w:rsidRPr="009C4164">
        <w:rPr>
          <w:sz w:val="20"/>
          <w:szCs w:val="20"/>
          <w:lang w:val="ru-RU"/>
        </w:rPr>
        <w:t xml:space="preserve">%.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Станом на кінець 2018 року в 11 колоніях </w:t>
      </w:r>
      <w:proofErr w:type="gramStart"/>
      <w:r w:rsidRPr="009C4164">
        <w:rPr>
          <w:sz w:val="20"/>
          <w:szCs w:val="20"/>
          <w:lang w:val="ru-RU"/>
        </w:rPr>
        <w:t>для</w:t>
      </w:r>
      <w:proofErr w:type="gramEnd"/>
      <w:r w:rsidRPr="009C4164">
        <w:rPr>
          <w:sz w:val="20"/>
          <w:szCs w:val="20"/>
          <w:lang w:val="ru-RU"/>
        </w:rPr>
        <w:t xml:space="preserve"> жінок перебувало 1444 ув’язнених. Загалом, в Україні спостерігається тенденція до зменшення, як кількості засуджених, так і кількості осіб, що перебувають на </w:t>
      </w:r>
      <w:proofErr w:type="gramStart"/>
      <w:r w:rsidRPr="009C4164">
        <w:rPr>
          <w:sz w:val="20"/>
          <w:szCs w:val="20"/>
          <w:lang w:val="ru-RU"/>
        </w:rPr>
        <w:t>обл</w:t>
      </w:r>
      <w:proofErr w:type="gramEnd"/>
      <w:r w:rsidRPr="009C4164">
        <w:rPr>
          <w:sz w:val="20"/>
          <w:szCs w:val="20"/>
          <w:lang w:val="ru-RU"/>
        </w:rPr>
        <w:t>іку органів з питань пробації. Інформація про</w:t>
      </w:r>
      <w:r w:rsidRPr="009C4164">
        <w:rPr>
          <w:sz w:val="20"/>
          <w:szCs w:val="20"/>
          <w:lang w:val="ru-RU"/>
        </w:rPr>
        <w:t xml:space="preserve"> стан кримінально-виконавчої системи України свідчить, що станом на 1 січня 2018 року таких людей було 57 295, в 2014 році – 72 979 людини. Наприкінці 2018 року кількість засуджених в Україні становила 55 121 особу.</w:t>
      </w:r>
    </w:p>
    <w:p w:rsidR="00BA7A83" w:rsidRPr="009C4164" w:rsidRDefault="00BA7A83">
      <w:pPr>
        <w:jc w:val="both"/>
        <w:rPr>
          <w:sz w:val="20"/>
          <w:szCs w:val="20"/>
          <w:lang w:val="ru-RU"/>
        </w:rPr>
      </w:pPr>
    </w:p>
    <w:p w:rsidR="00BA7A83" w:rsidRPr="009C4164" w:rsidRDefault="009C4164">
      <w:pPr>
        <w:jc w:val="both"/>
        <w:rPr>
          <w:sz w:val="20"/>
          <w:szCs w:val="20"/>
          <w:highlight w:val="white"/>
          <w:lang w:val="ru-RU"/>
        </w:rPr>
      </w:pPr>
      <w:proofErr w:type="gramStart"/>
      <w:r w:rsidRPr="009C4164">
        <w:rPr>
          <w:sz w:val="20"/>
          <w:szCs w:val="20"/>
          <w:lang w:val="ru-RU"/>
        </w:rPr>
        <w:t>Невелика</w:t>
      </w:r>
      <w:proofErr w:type="gramEnd"/>
      <w:r w:rsidRPr="009C4164">
        <w:rPr>
          <w:sz w:val="20"/>
          <w:szCs w:val="20"/>
          <w:lang w:val="ru-RU"/>
        </w:rPr>
        <w:t xml:space="preserve"> кількість в’язниць для жінок п</w:t>
      </w:r>
      <w:r w:rsidRPr="009C4164">
        <w:rPr>
          <w:sz w:val="20"/>
          <w:szCs w:val="20"/>
          <w:lang w:val="ru-RU"/>
        </w:rPr>
        <w:t xml:space="preserve">означається на тому, що часто жінки-ув’язнені знаходяться далеко від свого дому. Це створює труднощі для жінки в </w:t>
      </w:r>
      <w:proofErr w:type="gramStart"/>
      <w:r w:rsidRPr="009C4164">
        <w:rPr>
          <w:sz w:val="20"/>
          <w:szCs w:val="20"/>
          <w:lang w:val="ru-RU"/>
        </w:rPr>
        <w:t>п</w:t>
      </w:r>
      <w:proofErr w:type="gramEnd"/>
      <w:r w:rsidRPr="009C4164">
        <w:rPr>
          <w:sz w:val="20"/>
          <w:szCs w:val="20"/>
          <w:lang w:val="ru-RU"/>
        </w:rPr>
        <w:t xml:space="preserve">ідтримці сімейних зв’язків, особливо, якщо жінка має дітей. Багато жінок </w:t>
      </w:r>
      <w:proofErr w:type="gramStart"/>
      <w:r w:rsidRPr="009C4164">
        <w:rPr>
          <w:sz w:val="20"/>
          <w:szCs w:val="20"/>
          <w:lang w:val="ru-RU"/>
        </w:rPr>
        <w:t>у</w:t>
      </w:r>
      <w:proofErr w:type="gramEnd"/>
      <w:r w:rsidRPr="009C4164">
        <w:rPr>
          <w:sz w:val="20"/>
          <w:szCs w:val="20"/>
          <w:lang w:val="ru-RU"/>
        </w:rPr>
        <w:t xml:space="preserve"> в’язницях є </w:t>
      </w:r>
      <w:proofErr w:type="gramStart"/>
      <w:r w:rsidRPr="009C4164">
        <w:rPr>
          <w:sz w:val="20"/>
          <w:szCs w:val="20"/>
          <w:lang w:val="ru-RU"/>
        </w:rPr>
        <w:t>матерями</w:t>
      </w:r>
      <w:proofErr w:type="gramEnd"/>
      <w:r w:rsidRPr="009C4164">
        <w:rPr>
          <w:sz w:val="20"/>
          <w:szCs w:val="20"/>
          <w:lang w:val="ru-RU"/>
        </w:rPr>
        <w:t xml:space="preserve"> і, часто, вони є первинними або єдиними опікун</w:t>
      </w:r>
      <w:r w:rsidRPr="009C4164">
        <w:rPr>
          <w:sz w:val="20"/>
          <w:szCs w:val="20"/>
          <w:lang w:val="ru-RU"/>
        </w:rPr>
        <w:t xml:space="preserve">ами для своїх дітей. Невелика кількість жіночих в’язниць також призводить до колективного розміщення жінок, засуджених за </w:t>
      </w:r>
      <w:proofErr w:type="gramStart"/>
      <w:r w:rsidRPr="009C4164">
        <w:rPr>
          <w:sz w:val="20"/>
          <w:szCs w:val="20"/>
          <w:lang w:val="ru-RU"/>
        </w:rPr>
        <w:t>р</w:t>
      </w:r>
      <w:proofErr w:type="gramEnd"/>
      <w:r w:rsidRPr="009C4164">
        <w:rPr>
          <w:sz w:val="20"/>
          <w:szCs w:val="20"/>
          <w:lang w:val="ru-RU"/>
        </w:rPr>
        <w:t>ізні злочини, у в’язниці з високим рівнем безпеки, які потрібні лише для невеликої кількості засуджених, адже більшість злочинів за я</w:t>
      </w:r>
      <w:r w:rsidRPr="009C4164">
        <w:rPr>
          <w:sz w:val="20"/>
          <w:szCs w:val="20"/>
          <w:lang w:val="ru-RU"/>
        </w:rPr>
        <w:t xml:space="preserve">кі жінки утримуються у в’язницях є ненасильницькими, пов’язані з майном або наркотиками (Петракова, 2019) </w:t>
      </w:r>
      <w:r w:rsidRPr="009C4164">
        <w:rPr>
          <w:sz w:val="20"/>
          <w:szCs w:val="20"/>
          <w:highlight w:val="white"/>
          <w:lang w:val="ru-RU"/>
        </w:rPr>
        <w:t xml:space="preserve">Жіночі </w:t>
      </w:r>
      <w:r w:rsidRPr="009C4164">
        <w:rPr>
          <w:sz w:val="20"/>
          <w:szCs w:val="20"/>
          <w:highlight w:val="white"/>
          <w:lang w:val="ru-RU"/>
        </w:rPr>
        <w:lastRenderedPageBreak/>
        <w:t xml:space="preserve">в'язниці більше, ніж чоловічі, вводять незліченні </w:t>
      </w:r>
      <w:proofErr w:type="gramStart"/>
      <w:r w:rsidRPr="009C4164">
        <w:rPr>
          <w:sz w:val="20"/>
          <w:szCs w:val="20"/>
          <w:highlight w:val="white"/>
          <w:lang w:val="ru-RU"/>
        </w:rPr>
        <w:t>др</w:t>
      </w:r>
      <w:proofErr w:type="gramEnd"/>
      <w:r w:rsidRPr="009C4164">
        <w:rPr>
          <w:sz w:val="20"/>
          <w:szCs w:val="20"/>
          <w:highlight w:val="white"/>
          <w:lang w:val="ru-RU"/>
        </w:rPr>
        <w:t>ібні правила щодо зачісок, охайності тощо, які, здається, мають на меті забезпечити виконан</w:t>
      </w:r>
      <w:r w:rsidRPr="009C4164">
        <w:rPr>
          <w:sz w:val="20"/>
          <w:szCs w:val="20"/>
          <w:highlight w:val="white"/>
          <w:lang w:val="ru-RU"/>
        </w:rPr>
        <w:t>ня нормативних ґендерних ролей (</w:t>
      </w:r>
      <w:r>
        <w:rPr>
          <w:sz w:val="20"/>
          <w:szCs w:val="20"/>
          <w:highlight w:val="white"/>
        </w:rPr>
        <w:t>Owen</w:t>
      </w:r>
      <w:r w:rsidRPr="009C4164">
        <w:rPr>
          <w:sz w:val="20"/>
          <w:szCs w:val="20"/>
          <w:highlight w:val="white"/>
          <w:lang w:val="ru-RU"/>
        </w:rPr>
        <w:t xml:space="preserve">, 1998). </w:t>
      </w:r>
    </w:p>
    <w:p w:rsidR="00BA7A83" w:rsidRPr="009C4164" w:rsidRDefault="00BA7A83">
      <w:pPr>
        <w:jc w:val="both"/>
        <w:rPr>
          <w:sz w:val="20"/>
          <w:szCs w:val="20"/>
          <w:highlight w:val="white"/>
          <w:lang w:val="ru-RU"/>
        </w:rPr>
      </w:pPr>
    </w:p>
    <w:p w:rsidR="00BA7A83" w:rsidRPr="009C4164" w:rsidRDefault="009C4164">
      <w:pPr>
        <w:jc w:val="both"/>
        <w:rPr>
          <w:sz w:val="20"/>
          <w:szCs w:val="20"/>
          <w:highlight w:val="white"/>
          <w:lang w:val="ru-RU"/>
        </w:rPr>
      </w:pPr>
      <w:proofErr w:type="gramStart"/>
      <w:r w:rsidRPr="009C4164">
        <w:rPr>
          <w:sz w:val="20"/>
          <w:szCs w:val="20"/>
          <w:highlight w:val="white"/>
          <w:lang w:val="ru-RU"/>
        </w:rPr>
        <w:t>Ц</w:t>
      </w:r>
      <w:proofErr w:type="gramEnd"/>
      <w:r w:rsidRPr="009C4164">
        <w:rPr>
          <w:sz w:val="20"/>
          <w:szCs w:val="20"/>
          <w:highlight w:val="white"/>
          <w:lang w:val="ru-RU"/>
        </w:rPr>
        <w:t xml:space="preserve">ікаве виключення у системі органів кримінальної юстиції, де переважають чоловіки, становлять суди. </w:t>
      </w:r>
      <w:proofErr w:type="gramStart"/>
      <w:r w:rsidRPr="009C4164">
        <w:rPr>
          <w:sz w:val="20"/>
          <w:szCs w:val="20"/>
          <w:highlight w:val="white"/>
          <w:lang w:val="ru-RU"/>
        </w:rPr>
        <w:t>Так, в Україні з 30 363 суддів та працівників апаратів, які станом на 1 січня 2020 року працюють у місцевих т</w:t>
      </w:r>
      <w:r w:rsidRPr="009C4164">
        <w:rPr>
          <w:sz w:val="20"/>
          <w:szCs w:val="20"/>
          <w:highlight w:val="white"/>
          <w:lang w:val="ru-RU"/>
        </w:rPr>
        <w:t>а апеляційних судах України, 75% (22 821 особа) жінок та 25% (7 542) чоловіків. За окремими категоріями посад, ґендерний склад місцевих і апеляційних судів Укра</w:t>
      </w:r>
      <w:proofErr w:type="gramEnd"/>
      <w:r w:rsidRPr="009C4164">
        <w:rPr>
          <w:sz w:val="20"/>
          <w:szCs w:val="20"/>
          <w:highlight w:val="white"/>
          <w:lang w:val="ru-RU"/>
        </w:rPr>
        <w:t>ї</w:t>
      </w:r>
      <w:proofErr w:type="gramStart"/>
      <w:r w:rsidRPr="009C4164">
        <w:rPr>
          <w:sz w:val="20"/>
          <w:szCs w:val="20"/>
          <w:highlight w:val="white"/>
          <w:lang w:val="ru-RU"/>
        </w:rPr>
        <w:t>ни такий: з 5 022 суддів 53% (2 661) жінок та 47% (2 361) чоловіків; з 25 341 працівників апара</w:t>
      </w:r>
      <w:r w:rsidRPr="009C4164">
        <w:rPr>
          <w:sz w:val="20"/>
          <w:szCs w:val="20"/>
          <w:highlight w:val="white"/>
          <w:lang w:val="ru-RU"/>
        </w:rPr>
        <w:t xml:space="preserve">ту суду (патронатна служба, державні службовці, працівники, які виконують функції з обслуговування, робітники) 80% (20 160) жінок та 20% (5 181) чоловіків. </w:t>
      </w:r>
      <w:proofErr w:type="gramEnd"/>
    </w:p>
    <w:p w:rsidR="00BA7A83" w:rsidRPr="009C4164" w:rsidRDefault="00BA7A83">
      <w:pPr>
        <w:jc w:val="both"/>
        <w:rPr>
          <w:sz w:val="20"/>
          <w:szCs w:val="20"/>
          <w:highlight w:val="white"/>
          <w:lang w:val="ru-RU"/>
        </w:rPr>
      </w:pPr>
    </w:p>
    <w:p w:rsidR="00BA7A83" w:rsidRPr="009C4164" w:rsidRDefault="009C4164">
      <w:pPr>
        <w:jc w:val="both"/>
        <w:rPr>
          <w:sz w:val="20"/>
          <w:szCs w:val="20"/>
          <w:highlight w:val="white"/>
          <w:lang w:val="ru-RU"/>
        </w:rPr>
      </w:pPr>
      <w:r w:rsidRPr="009C4164">
        <w:rPr>
          <w:sz w:val="20"/>
          <w:szCs w:val="20"/>
          <w:highlight w:val="white"/>
          <w:lang w:val="ru-RU"/>
        </w:rPr>
        <w:t>Судд</w:t>
      </w:r>
      <w:proofErr w:type="gramStart"/>
      <w:r w:rsidRPr="009C4164">
        <w:rPr>
          <w:sz w:val="20"/>
          <w:szCs w:val="20"/>
          <w:highlight w:val="white"/>
          <w:lang w:val="ru-RU"/>
        </w:rPr>
        <w:t>і-</w:t>
      </w:r>
      <w:proofErr w:type="gramEnd"/>
      <w:r w:rsidRPr="009C4164">
        <w:rPr>
          <w:sz w:val="20"/>
          <w:szCs w:val="20"/>
          <w:highlight w:val="white"/>
          <w:lang w:val="ru-RU"/>
        </w:rPr>
        <w:t xml:space="preserve">жінки переважають і у Росії (дві третини суддей там -- жінки). </w:t>
      </w:r>
      <w:proofErr w:type="gramStart"/>
      <w:r w:rsidRPr="009C4164">
        <w:rPr>
          <w:sz w:val="20"/>
          <w:szCs w:val="20"/>
          <w:highlight w:val="white"/>
          <w:lang w:val="ru-RU"/>
        </w:rPr>
        <w:t>Досл</w:t>
      </w:r>
      <w:proofErr w:type="gramEnd"/>
      <w:r w:rsidRPr="009C4164">
        <w:rPr>
          <w:sz w:val="20"/>
          <w:szCs w:val="20"/>
          <w:highlight w:val="white"/>
          <w:lang w:val="ru-RU"/>
        </w:rPr>
        <w:t>ідники з Інституту пробле</w:t>
      </w:r>
      <w:r w:rsidRPr="009C4164">
        <w:rPr>
          <w:sz w:val="20"/>
          <w:szCs w:val="20"/>
          <w:highlight w:val="white"/>
          <w:lang w:val="ru-RU"/>
        </w:rPr>
        <w:t>м правозастосування наводять декілька можливих механізмів, які призводять до таких диспропорцій. Насамперед йдеться про досить патріархальну і дискримінаційну практику, зумовленою культурою, яка передбача</w:t>
      </w:r>
      <w:proofErr w:type="gramStart"/>
      <w:r w:rsidRPr="009C4164">
        <w:rPr>
          <w:sz w:val="20"/>
          <w:szCs w:val="20"/>
          <w:highlight w:val="white"/>
          <w:lang w:val="ru-RU"/>
        </w:rPr>
        <w:t>є,</w:t>
      </w:r>
      <w:proofErr w:type="gramEnd"/>
      <w:r w:rsidRPr="009C4164">
        <w:rPr>
          <w:sz w:val="20"/>
          <w:szCs w:val="20"/>
          <w:highlight w:val="white"/>
          <w:lang w:val="ru-RU"/>
        </w:rPr>
        <w:t xml:space="preserve"> що важка рутинна і нефізична робота — це традицій</w:t>
      </w:r>
      <w:r w:rsidRPr="009C4164">
        <w:rPr>
          <w:sz w:val="20"/>
          <w:szCs w:val="20"/>
          <w:highlight w:val="white"/>
          <w:lang w:val="ru-RU"/>
        </w:rPr>
        <w:t xml:space="preserve">но жіноча справа. Таким чином, бухгалтерії, відділи кадрів, значна частина низової бюрократії переважно жіночі, особливо на “нижньому щаблі” </w:t>
      </w:r>
      <w:proofErr w:type="gramStart"/>
      <w:r w:rsidRPr="009C4164">
        <w:rPr>
          <w:sz w:val="20"/>
          <w:szCs w:val="20"/>
          <w:highlight w:val="white"/>
          <w:lang w:val="ru-RU"/>
        </w:rPr>
        <w:t>кар'єри</w:t>
      </w:r>
      <w:proofErr w:type="gramEnd"/>
      <w:r w:rsidRPr="009C4164">
        <w:rPr>
          <w:sz w:val="20"/>
          <w:szCs w:val="20"/>
          <w:highlight w:val="white"/>
          <w:lang w:val="ru-RU"/>
        </w:rPr>
        <w:t>. Із суддівським корпусом подібно: чим більше бюрократії, рутини, паперів, тим з більшою ймовірністю цим зай</w:t>
      </w:r>
      <w:r w:rsidRPr="009C4164">
        <w:rPr>
          <w:sz w:val="20"/>
          <w:szCs w:val="20"/>
          <w:highlight w:val="white"/>
          <w:lang w:val="ru-RU"/>
        </w:rPr>
        <w:t>маються жінки.</w:t>
      </w:r>
    </w:p>
    <w:p w:rsidR="00BA7A83" w:rsidRPr="009C4164" w:rsidRDefault="00BA7A83">
      <w:pPr>
        <w:jc w:val="both"/>
        <w:rPr>
          <w:sz w:val="20"/>
          <w:szCs w:val="20"/>
          <w:highlight w:val="white"/>
          <w:lang w:val="ru-RU"/>
        </w:rPr>
      </w:pPr>
    </w:p>
    <w:p w:rsidR="00BA7A83" w:rsidRPr="009C4164" w:rsidRDefault="009C4164">
      <w:pPr>
        <w:jc w:val="both"/>
        <w:rPr>
          <w:b/>
          <w:sz w:val="20"/>
          <w:szCs w:val="20"/>
          <w:highlight w:val="white"/>
          <w:lang w:val="ru-RU"/>
        </w:rPr>
      </w:pPr>
      <w:r w:rsidRPr="009C4164">
        <w:rPr>
          <w:b/>
          <w:sz w:val="20"/>
          <w:szCs w:val="20"/>
          <w:highlight w:val="white"/>
          <w:lang w:val="ru-RU"/>
        </w:rPr>
        <w:t>Ґендерний аспект наркополітики</w:t>
      </w:r>
    </w:p>
    <w:p w:rsidR="00BA7A83" w:rsidRPr="009C4164" w:rsidRDefault="00BA7A83">
      <w:pPr>
        <w:jc w:val="both"/>
        <w:rPr>
          <w:b/>
          <w:sz w:val="20"/>
          <w:szCs w:val="20"/>
          <w:highlight w:val="white"/>
          <w:lang w:val="ru-RU"/>
        </w:rPr>
      </w:pPr>
    </w:p>
    <w:p w:rsidR="00BA7A83" w:rsidRPr="009C4164" w:rsidRDefault="009C4164">
      <w:pPr>
        <w:jc w:val="both"/>
        <w:rPr>
          <w:sz w:val="20"/>
          <w:szCs w:val="20"/>
          <w:lang w:val="ru-RU"/>
        </w:rPr>
      </w:pPr>
      <w:r w:rsidRPr="009C4164">
        <w:rPr>
          <w:sz w:val="20"/>
          <w:szCs w:val="20"/>
          <w:highlight w:val="white"/>
          <w:lang w:val="ru-RU"/>
        </w:rPr>
        <w:t xml:space="preserve">Більшість </w:t>
      </w:r>
      <w:proofErr w:type="gramStart"/>
      <w:r w:rsidRPr="009C4164">
        <w:rPr>
          <w:sz w:val="20"/>
          <w:szCs w:val="20"/>
          <w:highlight w:val="white"/>
          <w:lang w:val="ru-RU"/>
        </w:rPr>
        <w:t>досл</w:t>
      </w:r>
      <w:proofErr w:type="gramEnd"/>
      <w:r w:rsidRPr="009C4164">
        <w:rPr>
          <w:sz w:val="20"/>
          <w:szCs w:val="20"/>
          <w:highlight w:val="white"/>
          <w:lang w:val="ru-RU"/>
        </w:rPr>
        <w:t xml:space="preserve">іджень, які стосується ґендерної </w:t>
      </w:r>
      <w:r w:rsidRPr="009C4164">
        <w:rPr>
          <w:sz w:val="20"/>
          <w:szCs w:val="20"/>
          <w:lang w:val="ru-RU"/>
        </w:rPr>
        <w:t>диспропорційності у вироках за злочини пов’язані з наркотиками проведені на американському матеріалі. Наприклад, праця професорів Каррі та Коррал-Камачо з Універ</w:t>
      </w:r>
      <w:r w:rsidRPr="009C4164">
        <w:rPr>
          <w:sz w:val="20"/>
          <w:szCs w:val="20"/>
          <w:lang w:val="ru-RU"/>
        </w:rPr>
        <w:t>ситету Ель-Пасо підтверджує схильність американської системи правосуддя непропорційно засуджувати молодих чоловіків, що належать до расових меншин за злочини, пов'язані з наркотиками. Використовуючи рандомізовану вибірку ув’язнених у Техасі, які були засуд</w:t>
      </w:r>
      <w:r w:rsidRPr="009C4164">
        <w:rPr>
          <w:sz w:val="20"/>
          <w:szCs w:val="20"/>
          <w:lang w:val="ru-RU"/>
        </w:rPr>
        <w:t xml:space="preserve">жені під час впровадження стратегії Війни з наркотиками, дослідники з’ясували, що чоловіки-правопорушники мали приблизно на 22% більше шансів отримати ув’язнення, ніж </w:t>
      </w:r>
      <w:proofErr w:type="gramStart"/>
      <w:r w:rsidRPr="009C4164">
        <w:rPr>
          <w:sz w:val="20"/>
          <w:szCs w:val="20"/>
          <w:lang w:val="ru-RU"/>
        </w:rPr>
        <w:t>ж</w:t>
      </w:r>
      <w:proofErr w:type="gramEnd"/>
      <w:r w:rsidRPr="009C4164">
        <w:rPr>
          <w:sz w:val="20"/>
          <w:szCs w:val="20"/>
          <w:lang w:val="ru-RU"/>
        </w:rPr>
        <w:t>інки (</w:t>
      </w:r>
      <w:r>
        <w:rPr>
          <w:color w:val="222222"/>
          <w:sz w:val="20"/>
          <w:szCs w:val="20"/>
          <w:highlight w:val="white"/>
        </w:rPr>
        <w:t>Curry</w:t>
      </w:r>
      <w:r w:rsidRPr="009C4164">
        <w:rPr>
          <w:color w:val="222222"/>
          <w:sz w:val="20"/>
          <w:szCs w:val="20"/>
          <w:highlight w:val="white"/>
          <w:lang w:val="ru-RU"/>
        </w:rPr>
        <w:t xml:space="preserve"> &amp; </w:t>
      </w:r>
      <w:r>
        <w:rPr>
          <w:color w:val="222222"/>
          <w:sz w:val="20"/>
          <w:szCs w:val="20"/>
          <w:highlight w:val="white"/>
        </w:rPr>
        <w:t>Corral</w:t>
      </w:r>
      <w:r w:rsidRPr="009C4164">
        <w:rPr>
          <w:color w:val="222222"/>
          <w:sz w:val="20"/>
          <w:szCs w:val="20"/>
          <w:highlight w:val="white"/>
          <w:lang w:val="ru-RU"/>
        </w:rPr>
        <w:t>-</w:t>
      </w:r>
      <w:r>
        <w:rPr>
          <w:color w:val="222222"/>
          <w:sz w:val="20"/>
          <w:szCs w:val="20"/>
          <w:highlight w:val="white"/>
        </w:rPr>
        <w:t>Camacho</w:t>
      </w:r>
      <w:r w:rsidRPr="009C4164">
        <w:rPr>
          <w:color w:val="222222"/>
          <w:sz w:val="20"/>
          <w:szCs w:val="20"/>
          <w:highlight w:val="white"/>
          <w:lang w:val="ru-RU"/>
        </w:rPr>
        <w:t>, 2008)</w:t>
      </w:r>
      <w:r w:rsidRPr="009C4164">
        <w:rPr>
          <w:sz w:val="20"/>
          <w:szCs w:val="20"/>
          <w:lang w:val="ru-RU"/>
        </w:rPr>
        <w:t>.</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Професорка кримінології з Університету Небраска Ка</w:t>
      </w:r>
      <w:r w:rsidRPr="009C4164">
        <w:rPr>
          <w:sz w:val="20"/>
          <w:szCs w:val="20"/>
          <w:lang w:val="ru-RU"/>
        </w:rPr>
        <w:t xml:space="preserve">сія Спон у </w:t>
      </w:r>
      <w:proofErr w:type="gramStart"/>
      <w:r w:rsidRPr="009C4164">
        <w:rPr>
          <w:sz w:val="20"/>
          <w:szCs w:val="20"/>
          <w:lang w:val="ru-RU"/>
        </w:rPr>
        <w:t>назв</w:t>
      </w:r>
      <w:proofErr w:type="gramEnd"/>
      <w:r w:rsidRPr="009C4164">
        <w:rPr>
          <w:sz w:val="20"/>
          <w:szCs w:val="20"/>
          <w:lang w:val="ru-RU"/>
        </w:rPr>
        <w:t>і своєї статті прямо ставить запитання “Чи мертва теорія лицарства?”. Звертаючись до тверджень Чесн</w:t>
      </w:r>
      <w:proofErr w:type="gramStart"/>
      <w:r w:rsidRPr="009C4164">
        <w:rPr>
          <w:sz w:val="20"/>
          <w:szCs w:val="20"/>
          <w:lang w:val="ru-RU"/>
        </w:rPr>
        <w:t>і-</w:t>
      </w:r>
      <w:proofErr w:type="gramEnd"/>
      <w:r w:rsidRPr="009C4164">
        <w:rPr>
          <w:sz w:val="20"/>
          <w:szCs w:val="20"/>
          <w:lang w:val="ru-RU"/>
        </w:rPr>
        <w:t>Лінд про те, що з початком Війни з наркотиками система кримінальної юстиції почала піддавати жінок жорсткішому контролю, вона намагається ем</w:t>
      </w:r>
      <w:r w:rsidRPr="009C4164">
        <w:rPr>
          <w:sz w:val="20"/>
          <w:szCs w:val="20"/>
          <w:lang w:val="ru-RU"/>
        </w:rPr>
        <w:t xml:space="preserve">пірично перевірити чи дійсно в останні роки суди стали менш поблажливими до жінок у справах пов’язаних з наркотиками. Проте, знову ж таки, чоловіки мали вищі шанси на позбавлення волі, ніж </w:t>
      </w:r>
      <w:proofErr w:type="gramStart"/>
      <w:r w:rsidRPr="009C4164">
        <w:rPr>
          <w:sz w:val="20"/>
          <w:szCs w:val="20"/>
          <w:lang w:val="ru-RU"/>
        </w:rPr>
        <w:t>ж</w:t>
      </w:r>
      <w:proofErr w:type="gramEnd"/>
      <w:r w:rsidRPr="009C4164">
        <w:rPr>
          <w:sz w:val="20"/>
          <w:szCs w:val="20"/>
          <w:lang w:val="ru-RU"/>
        </w:rPr>
        <w:t>інки-злочинці (57,1% до 21,4%). Авторка, таким чином, ілюстру</w:t>
      </w:r>
      <w:proofErr w:type="gramStart"/>
      <w:r w:rsidRPr="009C4164">
        <w:rPr>
          <w:sz w:val="20"/>
          <w:szCs w:val="20"/>
          <w:lang w:val="ru-RU"/>
        </w:rPr>
        <w:t>є,</w:t>
      </w:r>
      <w:proofErr w:type="gramEnd"/>
      <w:r w:rsidRPr="009C4164">
        <w:rPr>
          <w:sz w:val="20"/>
          <w:szCs w:val="20"/>
          <w:lang w:val="ru-RU"/>
        </w:rPr>
        <w:t xml:space="preserve"> що</w:t>
      </w:r>
      <w:r w:rsidRPr="009C4164">
        <w:rPr>
          <w:sz w:val="20"/>
          <w:szCs w:val="20"/>
          <w:lang w:val="ru-RU"/>
        </w:rPr>
        <w:t xml:space="preserve"> ґендерні диспропорції у судових вироках за злочини, пов’язані з наркотиками,  залишаються сталим явищем в американському контексті (</w:t>
      </w:r>
      <w:r>
        <w:rPr>
          <w:sz w:val="20"/>
          <w:szCs w:val="20"/>
        </w:rPr>
        <w:t>Spohn</w:t>
      </w:r>
      <w:r w:rsidRPr="009C4164">
        <w:rPr>
          <w:sz w:val="20"/>
          <w:szCs w:val="20"/>
          <w:lang w:val="ru-RU"/>
        </w:rPr>
        <w:t xml:space="preserve">, 1999). </w:t>
      </w:r>
    </w:p>
    <w:p w:rsidR="00BA7A83" w:rsidRPr="009C4164" w:rsidRDefault="009C4164">
      <w:pPr>
        <w:jc w:val="both"/>
        <w:rPr>
          <w:sz w:val="20"/>
          <w:szCs w:val="20"/>
          <w:highlight w:val="white"/>
          <w:lang w:val="ru-RU"/>
        </w:rPr>
      </w:pPr>
      <w:r w:rsidRPr="009C4164">
        <w:rPr>
          <w:sz w:val="20"/>
          <w:szCs w:val="20"/>
          <w:lang w:val="ru-RU"/>
        </w:rPr>
        <w:t xml:space="preserve"> </w:t>
      </w:r>
    </w:p>
    <w:p w:rsidR="00BA7A83" w:rsidRPr="009C4164" w:rsidRDefault="009C4164">
      <w:pPr>
        <w:jc w:val="both"/>
        <w:rPr>
          <w:sz w:val="20"/>
          <w:szCs w:val="20"/>
          <w:highlight w:val="white"/>
          <w:lang w:val="ru-RU"/>
        </w:rPr>
      </w:pPr>
      <w:r w:rsidRPr="009C4164">
        <w:rPr>
          <w:sz w:val="20"/>
          <w:szCs w:val="20"/>
          <w:highlight w:val="white"/>
          <w:lang w:val="ru-RU"/>
        </w:rPr>
        <w:t xml:space="preserve">Нарешті </w:t>
      </w:r>
      <w:proofErr w:type="gramStart"/>
      <w:r w:rsidRPr="009C4164">
        <w:rPr>
          <w:sz w:val="20"/>
          <w:szCs w:val="20"/>
          <w:highlight w:val="white"/>
          <w:lang w:val="ru-RU"/>
        </w:rPr>
        <w:t>досл</w:t>
      </w:r>
      <w:proofErr w:type="gramEnd"/>
      <w:r w:rsidRPr="009C4164">
        <w:rPr>
          <w:sz w:val="20"/>
          <w:szCs w:val="20"/>
          <w:highlight w:val="white"/>
          <w:lang w:val="ru-RU"/>
        </w:rPr>
        <w:t>ідження під назвою “</w:t>
      </w:r>
      <w:r>
        <w:rPr>
          <w:sz w:val="20"/>
          <w:szCs w:val="20"/>
          <w:highlight w:val="white"/>
        </w:rPr>
        <w:t>Gender</w:t>
      </w:r>
      <w:r w:rsidRPr="009C4164">
        <w:rPr>
          <w:sz w:val="20"/>
          <w:szCs w:val="20"/>
          <w:highlight w:val="white"/>
          <w:lang w:val="ru-RU"/>
        </w:rPr>
        <w:t xml:space="preserve"> </w:t>
      </w:r>
      <w:r>
        <w:rPr>
          <w:sz w:val="20"/>
          <w:szCs w:val="20"/>
          <w:highlight w:val="white"/>
        </w:rPr>
        <w:t>Differences</w:t>
      </w:r>
      <w:r w:rsidRPr="009C4164">
        <w:rPr>
          <w:sz w:val="20"/>
          <w:szCs w:val="20"/>
          <w:highlight w:val="white"/>
          <w:lang w:val="ru-RU"/>
        </w:rPr>
        <w:t xml:space="preserve"> </w:t>
      </w:r>
      <w:r>
        <w:rPr>
          <w:sz w:val="20"/>
          <w:szCs w:val="20"/>
          <w:highlight w:val="white"/>
        </w:rPr>
        <w:t>in</w:t>
      </w:r>
      <w:r w:rsidRPr="009C4164">
        <w:rPr>
          <w:sz w:val="20"/>
          <w:szCs w:val="20"/>
          <w:highlight w:val="white"/>
          <w:lang w:val="ru-RU"/>
        </w:rPr>
        <w:t xml:space="preserve"> </w:t>
      </w:r>
      <w:r>
        <w:rPr>
          <w:sz w:val="20"/>
          <w:szCs w:val="20"/>
          <w:highlight w:val="white"/>
        </w:rPr>
        <w:t>Criminal</w:t>
      </w:r>
      <w:r w:rsidRPr="009C4164">
        <w:rPr>
          <w:sz w:val="20"/>
          <w:szCs w:val="20"/>
          <w:highlight w:val="white"/>
          <w:lang w:val="ru-RU"/>
        </w:rPr>
        <w:t xml:space="preserve"> </w:t>
      </w:r>
      <w:r>
        <w:rPr>
          <w:sz w:val="20"/>
          <w:szCs w:val="20"/>
          <w:highlight w:val="white"/>
        </w:rPr>
        <w:t>Sentencing</w:t>
      </w:r>
      <w:r w:rsidRPr="009C4164">
        <w:rPr>
          <w:sz w:val="20"/>
          <w:szCs w:val="20"/>
          <w:highlight w:val="white"/>
          <w:lang w:val="ru-RU"/>
        </w:rPr>
        <w:t xml:space="preserve">: </w:t>
      </w:r>
      <w:r>
        <w:rPr>
          <w:sz w:val="20"/>
          <w:szCs w:val="20"/>
          <w:highlight w:val="white"/>
        </w:rPr>
        <w:t>Do</w:t>
      </w:r>
      <w:r w:rsidRPr="009C4164">
        <w:rPr>
          <w:sz w:val="20"/>
          <w:szCs w:val="20"/>
          <w:highlight w:val="white"/>
          <w:lang w:val="ru-RU"/>
        </w:rPr>
        <w:t xml:space="preserve"> </w:t>
      </w:r>
      <w:r>
        <w:rPr>
          <w:sz w:val="20"/>
          <w:szCs w:val="20"/>
          <w:highlight w:val="white"/>
        </w:rPr>
        <w:t>Effects</w:t>
      </w:r>
      <w:r w:rsidRPr="009C4164">
        <w:rPr>
          <w:sz w:val="20"/>
          <w:szCs w:val="20"/>
          <w:highlight w:val="white"/>
          <w:lang w:val="ru-RU"/>
        </w:rPr>
        <w:t xml:space="preserve"> </w:t>
      </w:r>
      <w:r>
        <w:rPr>
          <w:sz w:val="20"/>
          <w:szCs w:val="20"/>
          <w:highlight w:val="white"/>
        </w:rPr>
        <w:t>Vary</w:t>
      </w:r>
      <w:r w:rsidRPr="009C4164">
        <w:rPr>
          <w:sz w:val="20"/>
          <w:szCs w:val="20"/>
          <w:highlight w:val="white"/>
          <w:lang w:val="ru-RU"/>
        </w:rPr>
        <w:t xml:space="preserve"> </w:t>
      </w:r>
      <w:proofErr w:type="gramStart"/>
      <w:r>
        <w:rPr>
          <w:sz w:val="20"/>
          <w:szCs w:val="20"/>
          <w:highlight w:val="white"/>
        </w:rPr>
        <w:t>Across</w:t>
      </w:r>
      <w:proofErr w:type="gramEnd"/>
      <w:r w:rsidRPr="009C4164">
        <w:rPr>
          <w:sz w:val="20"/>
          <w:szCs w:val="20"/>
          <w:highlight w:val="white"/>
          <w:lang w:val="ru-RU"/>
        </w:rPr>
        <w:t xml:space="preserve"> </w:t>
      </w:r>
      <w:r>
        <w:rPr>
          <w:sz w:val="20"/>
          <w:szCs w:val="20"/>
          <w:highlight w:val="white"/>
        </w:rPr>
        <w:t>Violent</w:t>
      </w:r>
      <w:r w:rsidRPr="009C4164">
        <w:rPr>
          <w:sz w:val="20"/>
          <w:szCs w:val="20"/>
          <w:highlight w:val="white"/>
          <w:lang w:val="ru-RU"/>
        </w:rPr>
        <w:t>,</w:t>
      </w:r>
      <w:r w:rsidRPr="009C4164">
        <w:rPr>
          <w:sz w:val="20"/>
          <w:szCs w:val="20"/>
          <w:highlight w:val="white"/>
          <w:lang w:val="ru-RU"/>
        </w:rPr>
        <w:t xml:space="preserve"> </w:t>
      </w:r>
      <w:r>
        <w:rPr>
          <w:sz w:val="20"/>
          <w:szCs w:val="20"/>
          <w:highlight w:val="white"/>
        </w:rPr>
        <w:t>Property</w:t>
      </w:r>
      <w:r w:rsidRPr="009C4164">
        <w:rPr>
          <w:sz w:val="20"/>
          <w:szCs w:val="20"/>
          <w:highlight w:val="white"/>
          <w:lang w:val="ru-RU"/>
        </w:rPr>
        <w:t xml:space="preserve">, </w:t>
      </w:r>
      <w:r>
        <w:rPr>
          <w:sz w:val="20"/>
          <w:szCs w:val="20"/>
          <w:highlight w:val="white"/>
        </w:rPr>
        <w:t>and</w:t>
      </w:r>
      <w:r w:rsidRPr="009C4164">
        <w:rPr>
          <w:sz w:val="20"/>
          <w:szCs w:val="20"/>
          <w:highlight w:val="white"/>
          <w:lang w:val="ru-RU"/>
        </w:rPr>
        <w:t xml:space="preserve"> </w:t>
      </w:r>
      <w:r>
        <w:rPr>
          <w:sz w:val="20"/>
          <w:szCs w:val="20"/>
          <w:highlight w:val="white"/>
        </w:rPr>
        <w:t>Drug</w:t>
      </w:r>
      <w:r w:rsidRPr="009C4164">
        <w:rPr>
          <w:sz w:val="20"/>
          <w:szCs w:val="20"/>
          <w:highlight w:val="white"/>
          <w:lang w:val="ru-RU"/>
        </w:rPr>
        <w:t xml:space="preserve"> </w:t>
      </w:r>
      <w:r>
        <w:rPr>
          <w:sz w:val="20"/>
          <w:szCs w:val="20"/>
          <w:highlight w:val="white"/>
        </w:rPr>
        <w:t>Offenses</w:t>
      </w:r>
      <w:r w:rsidRPr="009C4164">
        <w:rPr>
          <w:sz w:val="20"/>
          <w:szCs w:val="20"/>
          <w:highlight w:val="white"/>
          <w:lang w:val="ru-RU"/>
        </w:rPr>
        <w:t xml:space="preserve">?” порівняло ґендерні відмінності щодо винесення вироків у насильницьких, майнових злочинах і справах пов’язаних з наркотиками. </w:t>
      </w:r>
      <w:proofErr w:type="gramStart"/>
      <w:r w:rsidRPr="009C4164">
        <w:rPr>
          <w:sz w:val="20"/>
          <w:szCs w:val="20"/>
          <w:highlight w:val="white"/>
          <w:lang w:val="ru-RU"/>
        </w:rPr>
        <w:t>Досл</w:t>
      </w:r>
      <w:proofErr w:type="gramEnd"/>
      <w:r w:rsidRPr="009C4164">
        <w:rPr>
          <w:sz w:val="20"/>
          <w:szCs w:val="20"/>
          <w:highlight w:val="white"/>
          <w:lang w:val="ru-RU"/>
        </w:rPr>
        <w:t>ідники підтвердили попередні очікування, що що жінки-злочинці отримують перевагу від своєї статі</w:t>
      </w:r>
      <w:r w:rsidRPr="009C4164">
        <w:rPr>
          <w:sz w:val="20"/>
          <w:szCs w:val="20"/>
          <w:highlight w:val="white"/>
          <w:lang w:val="ru-RU"/>
        </w:rPr>
        <w:t xml:space="preserve"> за майнові злочини та злочини за наркотики, коли чоловіки дійсно частіше потрапляють до ув'язнення. Однак незначна розбіжність у покаранні за насильницькі злочини </w:t>
      </w:r>
      <w:proofErr w:type="gramStart"/>
      <w:r w:rsidRPr="009C4164">
        <w:rPr>
          <w:sz w:val="20"/>
          <w:szCs w:val="20"/>
          <w:highlight w:val="white"/>
          <w:lang w:val="ru-RU"/>
        </w:rPr>
        <w:t>св</w:t>
      </w:r>
      <w:proofErr w:type="gramEnd"/>
      <w:r w:rsidRPr="009C4164">
        <w:rPr>
          <w:sz w:val="20"/>
          <w:szCs w:val="20"/>
          <w:highlight w:val="white"/>
          <w:lang w:val="ru-RU"/>
        </w:rPr>
        <w:t>ідчить про те, що жінки-злочинці не отримують суттєвих поступок, коли йдеться про важкі пр</w:t>
      </w:r>
      <w:r w:rsidRPr="009C4164">
        <w:rPr>
          <w:sz w:val="20"/>
          <w:szCs w:val="20"/>
          <w:highlight w:val="white"/>
          <w:lang w:val="ru-RU"/>
        </w:rPr>
        <w:t xml:space="preserve">авопорушення. </w:t>
      </w:r>
      <w:proofErr w:type="gramStart"/>
      <w:r w:rsidRPr="009C4164">
        <w:rPr>
          <w:sz w:val="20"/>
          <w:szCs w:val="20"/>
          <w:highlight w:val="white"/>
          <w:lang w:val="ru-RU"/>
        </w:rPr>
        <w:t>Ц</w:t>
      </w:r>
      <w:proofErr w:type="gramEnd"/>
      <w:r w:rsidRPr="009C4164">
        <w:rPr>
          <w:sz w:val="20"/>
          <w:szCs w:val="20"/>
          <w:highlight w:val="white"/>
          <w:lang w:val="ru-RU"/>
        </w:rPr>
        <w:t>і результати підтверджують більш нюансоване припущення, що випливає з гіпотези “</w:t>
      </w:r>
      <w:r>
        <w:rPr>
          <w:sz w:val="20"/>
          <w:szCs w:val="20"/>
          <w:highlight w:val="white"/>
        </w:rPr>
        <w:t>selective</w:t>
      </w:r>
      <w:r w:rsidRPr="009C4164">
        <w:rPr>
          <w:sz w:val="20"/>
          <w:szCs w:val="20"/>
          <w:highlight w:val="white"/>
          <w:lang w:val="ru-RU"/>
        </w:rPr>
        <w:t xml:space="preserve"> </w:t>
      </w:r>
      <w:r>
        <w:rPr>
          <w:sz w:val="20"/>
          <w:szCs w:val="20"/>
          <w:highlight w:val="white"/>
        </w:rPr>
        <w:t>chivalry</w:t>
      </w:r>
      <w:r w:rsidRPr="009C4164">
        <w:rPr>
          <w:sz w:val="20"/>
          <w:szCs w:val="20"/>
          <w:highlight w:val="white"/>
          <w:lang w:val="ru-RU"/>
        </w:rPr>
        <w:t xml:space="preserve">” (селективного лицарства). Відповідно до цієї теорії жінки отримують більш </w:t>
      </w:r>
      <w:proofErr w:type="gramStart"/>
      <w:r w:rsidRPr="009C4164">
        <w:rPr>
          <w:sz w:val="20"/>
          <w:szCs w:val="20"/>
          <w:highlight w:val="white"/>
          <w:lang w:val="ru-RU"/>
        </w:rPr>
        <w:t>м'як</w:t>
      </w:r>
      <w:proofErr w:type="gramEnd"/>
      <w:r w:rsidRPr="009C4164">
        <w:rPr>
          <w:sz w:val="20"/>
          <w:szCs w:val="20"/>
          <w:highlight w:val="white"/>
          <w:lang w:val="ru-RU"/>
        </w:rPr>
        <w:t>і вироки лише для правопорушень, що вважаються “більш жіночими”</w:t>
      </w:r>
      <w:r w:rsidRPr="009C4164">
        <w:rPr>
          <w:sz w:val="20"/>
          <w:szCs w:val="20"/>
          <w:highlight w:val="white"/>
          <w:lang w:val="ru-RU"/>
        </w:rPr>
        <w:t xml:space="preserve"> (</w:t>
      </w:r>
      <w:r>
        <w:rPr>
          <w:sz w:val="20"/>
          <w:szCs w:val="20"/>
          <w:highlight w:val="white"/>
        </w:rPr>
        <w:t>Rodriguez</w:t>
      </w:r>
      <w:r w:rsidRPr="009C4164">
        <w:rPr>
          <w:sz w:val="20"/>
          <w:szCs w:val="20"/>
          <w:highlight w:val="white"/>
          <w:lang w:val="ru-RU"/>
        </w:rPr>
        <w:t xml:space="preserve"> &amp; </w:t>
      </w:r>
      <w:r>
        <w:rPr>
          <w:sz w:val="20"/>
          <w:szCs w:val="20"/>
          <w:highlight w:val="white"/>
        </w:rPr>
        <w:t>Lee</w:t>
      </w:r>
      <w:r w:rsidRPr="009C4164">
        <w:rPr>
          <w:sz w:val="20"/>
          <w:szCs w:val="20"/>
          <w:highlight w:val="white"/>
          <w:lang w:val="ru-RU"/>
        </w:rPr>
        <w:t xml:space="preserve">, 2006). </w:t>
      </w:r>
    </w:p>
    <w:p w:rsidR="00BA7A83" w:rsidRPr="009C4164" w:rsidRDefault="009C4164">
      <w:pPr>
        <w:spacing w:before="240" w:after="240"/>
        <w:jc w:val="both"/>
        <w:rPr>
          <w:b/>
          <w:sz w:val="20"/>
          <w:szCs w:val="20"/>
          <w:highlight w:val="white"/>
          <w:lang w:val="ru-RU"/>
        </w:rPr>
      </w:pPr>
      <w:r w:rsidRPr="009C4164">
        <w:rPr>
          <w:b/>
          <w:sz w:val="20"/>
          <w:szCs w:val="20"/>
          <w:highlight w:val="white"/>
          <w:lang w:val="ru-RU"/>
        </w:rPr>
        <w:lastRenderedPageBreak/>
        <w:t>Гендерний аспект нарковживання</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t xml:space="preserve">Загальноєвропейська тенденція </w:t>
      </w:r>
      <w:proofErr w:type="gramStart"/>
      <w:r w:rsidRPr="009C4164">
        <w:rPr>
          <w:sz w:val="20"/>
          <w:szCs w:val="20"/>
          <w:highlight w:val="white"/>
          <w:lang w:val="ru-RU"/>
        </w:rPr>
        <w:t>св</w:t>
      </w:r>
      <w:proofErr w:type="gramEnd"/>
      <w:r w:rsidRPr="009C4164">
        <w:rPr>
          <w:sz w:val="20"/>
          <w:szCs w:val="20"/>
          <w:highlight w:val="white"/>
          <w:lang w:val="ru-RU"/>
        </w:rPr>
        <w:t xml:space="preserve">ідчить про розширення меж вживання наркотиків серед загального населення починаючи з 90х років минулого століття. Зокрема, це стосується і більш </w:t>
      </w:r>
      <w:proofErr w:type="gramStart"/>
      <w:r w:rsidRPr="009C4164">
        <w:rPr>
          <w:sz w:val="20"/>
          <w:szCs w:val="20"/>
          <w:highlight w:val="white"/>
          <w:lang w:val="ru-RU"/>
        </w:rPr>
        <w:t>активного</w:t>
      </w:r>
      <w:proofErr w:type="gramEnd"/>
      <w:r w:rsidRPr="009C4164">
        <w:rPr>
          <w:sz w:val="20"/>
          <w:szCs w:val="20"/>
          <w:highlight w:val="white"/>
          <w:lang w:val="ru-RU"/>
        </w:rPr>
        <w:t xml:space="preserve"> залучення ж</w:t>
      </w:r>
      <w:r w:rsidRPr="009C4164">
        <w:rPr>
          <w:sz w:val="20"/>
          <w:szCs w:val="20"/>
          <w:highlight w:val="white"/>
          <w:lang w:val="ru-RU"/>
        </w:rPr>
        <w:t xml:space="preserve">інок до нарковживання. Так, наприклад, за результатами Європейського </w:t>
      </w:r>
      <w:proofErr w:type="gramStart"/>
      <w:r w:rsidRPr="009C4164">
        <w:rPr>
          <w:sz w:val="20"/>
          <w:szCs w:val="20"/>
          <w:highlight w:val="white"/>
          <w:lang w:val="ru-RU"/>
        </w:rPr>
        <w:t>досл</w:t>
      </w:r>
      <w:proofErr w:type="gramEnd"/>
      <w:r w:rsidRPr="009C4164">
        <w:rPr>
          <w:sz w:val="20"/>
          <w:szCs w:val="20"/>
          <w:highlight w:val="white"/>
          <w:lang w:val="ru-RU"/>
        </w:rPr>
        <w:t>ідження учнівської молоді (</w:t>
      </w:r>
      <w:r>
        <w:rPr>
          <w:sz w:val="20"/>
          <w:szCs w:val="20"/>
          <w:highlight w:val="white"/>
        </w:rPr>
        <w:t>ESPAD</w:t>
      </w:r>
      <w:r w:rsidRPr="009C4164">
        <w:rPr>
          <w:sz w:val="20"/>
          <w:szCs w:val="20"/>
          <w:highlight w:val="white"/>
          <w:lang w:val="ru-RU"/>
        </w:rPr>
        <w:t>), в 1995 році 9% дівчат в Україні мали досвід вживання будь-яких нелегальних наркотичних речовин проти 20% серед хлопців. Але вже у 2019 році відсоток</w:t>
      </w:r>
      <w:r w:rsidRPr="009C4164">
        <w:rPr>
          <w:sz w:val="20"/>
          <w:szCs w:val="20"/>
          <w:highlight w:val="white"/>
          <w:lang w:val="ru-RU"/>
        </w:rPr>
        <w:t xml:space="preserve"> дівчат, що коли-небудь вживали наркотики, перевищив відсоток хлопців -- 18,1% дівчат мали такий досвід в порівнянні з 17,9% хлопців. Згідно з аналізом динаміки поширення наркоспоживання серед молоді, з 2011 року відбувається помірне, проте стабільне зниже</w:t>
      </w:r>
      <w:r w:rsidRPr="009C4164">
        <w:rPr>
          <w:sz w:val="20"/>
          <w:szCs w:val="20"/>
          <w:highlight w:val="white"/>
          <w:lang w:val="ru-RU"/>
        </w:rPr>
        <w:t>ння поширеності вживання наркотиків серед хлопців, проте, суттєве збільшення відсотка дівчат, які коли-небудь вживали наркотики протягом життя. За останні 4 роки кількість дівчат, що мали досвід нарковживання зріс на 5,4%, в той час як така кількість хлопц</w:t>
      </w:r>
      <w:r w:rsidRPr="009C4164">
        <w:rPr>
          <w:sz w:val="20"/>
          <w:szCs w:val="20"/>
          <w:highlight w:val="white"/>
          <w:lang w:val="ru-RU"/>
        </w:rPr>
        <w:t xml:space="preserve">ів зменшилась на 2,3%.  Варто зауважити, що такий розрив є нерівномірним і змінюється в залежності від віку опитаної молоді: серед </w:t>
      </w:r>
      <w:proofErr w:type="gramStart"/>
      <w:r w:rsidRPr="009C4164">
        <w:rPr>
          <w:sz w:val="20"/>
          <w:szCs w:val="20"/>
          <w:highlight w:val="white"/>
          <w:lang w:val="ru-RU"/>
        </w:rPr>
        <w:t>п</w:t>
      </w:r>
      <w:proofErr w:type="gramEnd"/>
      <w:r w:rsidRPr="009C4164">
        <w:rPr>
          <w:sz w:val="20"/>
          <w:szCs w:val="20"/>
          <w:highlight w:val="white"/>
          <w:lang w:val="ru-RU"/>
        </w:rPr>
        <w:t>ідлітків 2004 року народження хлопці на 2% частіше за дівчат мали досвід вживання наркотиків (14,2% дівчат коли-небудь вжива</w:t>
      </w:r>
      <w:r w:rsidRPr="009C4164">
        <w:rPr>
          <w:sz w:val="20"/>
          <w:szCs w:val="20"/>
          <w:highlight w:val="white"/>
          <w:lang w:val="ru-RU"/>
        </w:rPr>
        <w:t xml:space="preserve">ли наркотики проти 18,4% хлопців), а серед </w:t>
      </w:r>
      <w:proofErr w:type="gramStart"/>
      <w:r w:rsidRPr="009C4164">
        <w:rPr>
          <w:sz w:val="20"/>
          <w:szCs w:val="20"/>
          <w:highlight w:val="white"/>
          <w:lang w:val="ru-RU"/>
        </w:rPr>
        <w:t>п</w:t>
      </w:r>
      <w:proofErr w:type="gramEnd"/>
      <w:r w:rsidRPr="009C4164">
        <w:rPr>
          <w:sz w:val="20"/>
          <w:szCs w:val="20"/>
          <w:highlight w:val="white"/>
          <w:lang w:val="ru-RU"/>
        </w:rPr>
        <w:t xml:space="preserve">ідлітків 2000/2001 року народження розрив становить 10% з перевагою в сторону дівчат (26,3% дівчат проти 16,2% хлопців). Таким чином,  дівчата зазвичай долучаються до вживання наркотиків </w:t>
      </w:r>
      <w:proofErr w:type="gramStart"/>
      <w:r w:rsidRPr="009C4164">
        <w:rPr>
          <w:sz w:val="20"/>
          <w:szCs w:val="20"/>
          <w:highlight w:val="white"/>
          <w:lang w:val="ru-RU"/>
        </w:rPr>
        <w:t>п</w:t>
      </w:r>
      <w:proofErr w:type="gramEnd"/>
      <w:r w:rsidRPr="009C4164">
        <w:rPr>
          <w:sz w:val="20"/>
          <w:szCs w:val="20"/>
          <w:highlight w:val="white"/>
          <w:lang w:val="ru-RU"/>
        </w:rPr>
        <w:t>ізніше за хлопців. Проте</w:t>
      </w:r>
      <w:r w:rsidRPr="009C4164">
        <w:rPr>
          <w:sz w:val="20"/>
          <w:szCs w:val="20"/>
          <w:highlight w:val="white"/>
          <w:lang w:val="ru-RU"/>
        </w:rPr>
        <w:t>, відповідно до Свідотого звіту щодо наркотиків, показники вживання наркотиків серед жінок після першої спроби значно зростають в порівнянні з такими серед чоловіків (</w:t>
      </w:r>
      <w:r>
        <w:rPr>
          <w:sz w:val="20"/>
          <w:szCs w:val="20"/>
          <w:highlight w:val="white"/>
        </w:rPr>
        <w:t>UNODC</w:t>
      </w:r>
      <w:r w:rsidRPr="009C4164">
        <w:rPr>
          <w:sz w:val="20"/>
          <w:szCs w:val="20"/>
          <w:highlight w:val="white"/>
          <w:lang w:val="ru-RU"/>
        </w:rPr>
        <w:t xml:space="preserve"> </w:t>
      </w:r>
      <w:r>
        <w:rPr>
          <w:sz w:val="20"/>
          <w:szCs w:val="20"/>
          <w:highlight w:val="white"/>
        </w:rPr>
        <w:t>World</w:t>
      </w:r>
      <w:r w:rsidRPr="009C4164">
        <w:rPr>
          <w:sz w:val="20"/>
          <w:szCs w:val="20"/>
          <w:highlight w:val="white"/>
          <w:lang w:val="ru-RU"/>
        </w:rPr>
        <w:t xml:space="preserve"> </w:t>
      </w:r>
      <w:r>
        <w:rPr>
          <w:sz w:val="20"/>
          <w:szCs w:val="20"/>
          <w:highlight w:val="white"/>
        </w:rPr>
        <w:t>Drug</w:t>
      </w:r>
      <w:r w:rsidRPr="009C4164">
        <w:rPr>
          <w:sz w:val="20"/>
          <w:szCs w:val="20"/>
          <w:highlight w:val="white"/>
          <w:lang w:val="ru-RU"/>
        </w:rPr>
        <w:t xml:space="preserve"> </w:t>
      </w:r>
      <w:r>
        <w:rPr>
          <w:sz w:val="20"/>
          <w:szCs w:val="20"/>
          <w:highlight w:val="white"/>
        </w:rPr>
        <w:t>report</w:t>
      </w:r>
      <w:r w:rsidRPr="009C4164">
        <w:rPr>
          <w:sz w:val="20"/>
          <w:szCs w:val="20"/>
          <w:highlight w:val="white"/>
          <w:lang w:val="ru-RU"/>
        </w:rPr>
        <w:t xml:space="preserve">, 2018)  </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t>Проте, перелік речовин, що вживаються дівчатами та хлопц</w:t>
      </w:r>
      <w:r w:rsidRPr="009C4164">
        <w:rPr>
          <w:sz w:val="20"/>
          <w:szCs w:val="20"/>
          <w:highlight w:val="white"/>
          <w:lang w:val="ru-RU"/>
        </w:rPr>
        <w:t xml:space="preserve">ями </w:t>
      </w:r>
      <w:proofErr w:type="gramStart"/>
      <w:r w:rsidRPr="009C4164">
        <w:rPr>
          <w:sz w:val="20"/>
          <w:szCs w:val="20"/>
          <w:highlight w:val="white"/>
          <w:lang w:val="ru-RU"/>
        </w:rPr>
        <w:t>р</w:t>
      </w:r>
      <w:proofErr w:type="gramEnd"/>
      <w:r w:rsidRPr="009C4164">
        <w:rPr>
          <w:sz w:val="20"/>
          <w:szCs w:val="20"/>
          <w:highlight w:val="white"/>
          <w:lang w:val="ru-RU"/>
        </w:rPr>
        <w:t xml:space="preserve">ізниться. Наприклад, хлопці частіше за дівчат вживають канабіс -- 10,7% хлопців вживали його принаймні раз протягом життя на противагу 6,8% дівчат. Дівчата ж в свою чергу майже в два </w:t>
      </w:r>
      <w:proofErr w:type="gramStart"/>
      <w:r w:rsidRPr="009C4164">
        <w:rPr>
          <w:sz w:val="20"/>
          <w:szCs w:val="20"/>
          <w:highlight w:val="white"/>
          <w:lang w:val="ru-RU"/>
        </w:rPr>
        <w:t>рази</w:t>
      </w:r>
      <w:proofErr w:type="gramEnd"/>
      <w:r w:rsidRPr="009C4164">
        <w:rPr>
          <w:sz w:val="20"/>
          <w:szCs w:val="20"/>
          <w:highlight w:val="white"/>
          <w:lang w:val="ru-RU"/>
        </w:rPr>
        <w:t xml:space="preserve"> частіше за хлопців вживали транквілізатори та седативні препара</w:t>
      </w:r>
      <w:r w:rsidRPr="009C4164">
        <w:rPr>
          <w:sz w:val="20"/>
          <w:szCs w:val="20"/>
          <w:highlight w:val="white"/>
          <w:lang w:val="ru-RU"/>
        </w:rPr>
        <w:t>ти без призначення лікаря -- 7,1% дівчат проти 4,3% хлопців (</w:t>
      </w:r>
      <w:r>
        <w:rPr>
          <w:sz w:val="20"/>
          <w:szCs w:val="20"/>
          <w:highlight w:val="white"/>
        </w:rPr>
        <w:t>ESPAD</w:t>
      </w:r>
      <w:r w:rsidRPr="009C4164">
        <w:rPr>
          <w:sz w:val="20"/>
          <w:szCs w:val="20"/>
          <w:highlight w:val="white"/>
          <w:lang w:val="ru-RU"/>
        </w:rPr>
        <w:t xml:space="preserve">, 2019). Відмінності в обраних для вживання наркотиках можуть </w:t>
      </w:r>
      <w:proofErr w:type="gramStart"/>
      <w:r w:rsidRPr="009C4164">
        <w:rPr>
          <w:sz w:val="20"/>
          <w:szCs w:val="20"/>
          <w:highlight w:val="white"/>
          <w:lang w:val="ru-RU"/>
        </w:rPr>
        <w:t>бути</w:t>
      </w:r>
      <w:proofErr w:type="gramEnd"/>
      <w:r w:rsidRPr="009C4164">
        <w:rPr>
          <w:sz w:val="20"/>
          <w:szCs w:val="20"/>
          <w:highlight w:val="white"/>
          <w:lang w:val="ru-RU"/>
        </w:rPr>
        <w:t xml:space="preserve"> пояснені ґендерними особливостями мотивації до нарковживання. Тенденція до поширення вживання транквілізаторів серед дівчат</w:t>
      </w:r>
      <w:r w:rsidRPr="009C4164">
        <w:rPr>
          <w:sz w:val="20"/>
          <w:szCs w:val="20"/>
          <w:highlight w:val="white"/>
          <w:lang w:val="ru-RU"/>
        </w:rPr>
        <w:t xml:space="preserve">-підлітків не є унікальною для України: за останніми дослідженнями, вона характерна для європейського регіону в тому числі. Дослідники часто пов’язують це з підвищеними соціальними очікуваннями від </w:t>
      </w:r>
      <w:proofErr w:type="gramStart"/>
      <w:r w:rsidRPr="009C4164">
        <w:rPr>
          <w:sz w:val="20"/>
          <w:szCs w:val="20"/>
          <w:highlight w:val="white"/>
          <w:lang w:val="ru-RU"/>
        </w:rPr>
        <w:t>д</w:t>
      </w:r>
      <w:proofErr w:type="gramEnd"/>
      <w:r w:rsidRPr="009C4164">
        <w:rPr>
          <w:sz w:val="20"/>
          <w:szCs w:val="20"/>
          <w:highlight w:val="white"/>
          <w:lang w:val="ru-RU"/>
        </w:rPr>
        <w:t>івчат в молодомі віці: це стосується як очікувань до вищо</w:t>
      </w:r>
      <w:r w:rsidRPr="009C4164">
        <w:rPr>
          <w:sz w:val="20"/>
          <w:szCs w:val="20"/>
          <w:highlight w:val="white"/>
          <w:lang w:val="ru-RU"/>
        </w:rPr>
        <w:t xml:space="preserve">ї успішності </w:t>
      </w:r>
      <w:proofErr w:type="gramStart"/>
      <w:r w:rsidRPr="009C4164">
        <w:rPr>
          <w:sz w:val="20"/>
          <w:szCs w:val="20"/>
          <w:highlight w:val="white"/>
          <w:lang w:val="ru-RU"/>
        </w:rPr>
        <w:t>в</w:t>
      </w:r>
      <w:proofErr w:type="gramEnd"/>
      <w:r w:rsidRPr="009C4164">
        <w:rPr>
          <w:sz w:val="20"/>
          <w:szCs w:val="20"/>
          <w:highlight w:val="white"/>
          <w:lang w:val="ru-RU"/>
        </w:rPr>
        <w:t xml:space="preserve"> школі, так і щодо виконання домашніх обов’язків та позашкільного розвитку. </w:t>
      </w:r>
      <w:proofErr w:type="gramStart"/>
      <w:r w:rsidRPr="009C4164">
        <w:rPr>
          <w:sz w:val="20"/>
          <w:szCs w:val="20"/>
          <w:highlight w:val="white"/>
          <w:lang w:val="ru-RU"/>
        </w:rPr>
        <w:t>Такі очікування можуть провокувати стрес та тривожність серед дівчат-підлітків та бути мотивацією для подальшого початку нарковживання з метою заспокоєння та зняття т</w:t>
      </w:r>
      <w:r w:rsidRPr="009C4164">
        <w:rPr>
          <w:sz w:val="20"/>
          <w:szCs w:val="20"/>
          <w:highlight w:val="white"/>
          <w:lang w:val="ru-RU"/>
        </w:rPr>
        <w:t>ривожності. Ек</w:t>
      </w:r>
      <w:r w:rsidRPr="009C4164">
        <w:rPr>
          <w:sz w:val="20"/>
          <w:szCs w:val="20"/>
          <w:lang w:val="ru-RU"/>
        </w:rPr>
        <w:t>сперти також зазначають</w:t>
      </w:r>
      <w:r w:rsidRPr="009C4164">
        <w:rPr>
          <w:sz w:val="20"/>
          <w:szCs w:val="20"/>
          <w:highlight w:val="white"/>
          <w:lang w:val="ru-RU"/>
        </w:rPr>
        <w:t>, що вживання психоактивних речовин з метою схуднення є набагато більш поширеною серед молодих жінок, ніж серед чоловіків, через вплив ґендерних очікувань щодо</w:t>
      </w:r>
      <w:proofErr w:type="gramEnd"/>
      <w:r w:rsidRPr="009C4164">
        <w:rPr>
          <w:sz w:val="20"/>
          <w:szCs w:val="20"/>
          <w:highlight w:val="white"/>
          <w:lang w:val="ru-RU"/>
        </w:rPr>
        <w:t xml:space="preserve"> вигляду жіночого </w:t>
      </w:r>
      <w:proofErr w:type="gramStart"/>
      <w:r w:rsidRPr="009C4164">
        <w:rPr>
          <w:sz w:val="20"/>
          <w:szCs w:val="20"/>
          <w:highlight w:val="white"/>
          <w:lang w:val="ru-RU"/>
        </w:rPr>
        <w:t>тіла</w:t>
      </w:r>
      <w:proofErr w:type="gramEnd"/>
      <w:r w:rsidRPr="009C4164">
        <w:rPr>
          <w:sz w:val="20"/>
          <w:szCs w:val="20"/>
          <w:highlight w:val="white"/>
          <w:lang w:val="ru-RU"/>
        </w:rPr>
        <w:t>.</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t>Щодо поширеності нарковживання серед</w:t>
      </w:r>
      <w:r w:rsidRPr="009C4164">
        <w:rPr>
          <w:sz w:val="20"/>
          <w:szCs w:val="20"/>
          <w:highlight w:val="white"/>
          <w:lang w:val="ru-RU"/>
        </w:rPr>
        <w:t xml:space="preserve"> дорослого населення та його ґендерний розподіл, в Україні існує істотна проблема відсутності оцінки даних щодо вживання наркотиків серед загального населення. Наявка оцінка ситуації зі вживанням наркотичних речовин доступна лише в розрізі ключових груп що</w:t>
      </w:r>
      <w:r w:rsidRPr="009C4164">
        <w:rPr>
          <w:sz w:val="20"/>
          <w:szCs w:val="20"/>
          <w:highlight w:val="white"/>
          <w:lang w:val="ru-RU"/>
        </w:rPr>
        <w:t>до інфікування</w:t>
      </w:r>
      <w:proofErr w:type="gramStart"/>
      <w:r w:rsidRPr="009C4164">
        <w:rPr>
          <w:sz w:val="20"/>
          <w:szCs w:val="20"/>
          <w:highlight w:val="white"/>
          <w:lang w:val="ru-RU"/>
        </w:rPr>
        <w:t xml:space="preserve"> В</w:t>
      </w:r>
      <w:proofErr w:type="gramEnd"/>
      <w:r w:rsidRPr="009C4164">
        <w:rPr>
          <w:sz w:val="20"/>
          <w:szCs w:val="20"/>
          <w:highlight w:val="white"/>
          <w:lang w:val="ru-RU"/>
        </w:rPr>
        <w:t xml:space="preserve">ІЛ, до яких, зокрема, належать люди, що вживають наркотики ін’єкційно (ЛВНІ), та працівники секс-бізнесу. Загальна оціночна кількість ЛВНІ в Україні становить 350 300 тис </w:t>
      </w:r>
      <w:proofErr w:type="gramStart"/>
      <w:r w:rsidRPr="009C4164">
        <w:rPr>
          <w:sz w:val="20"/>
          <w:szCs w:val="20"/>
          <w:highlight w:val="white"/>
          <w:lang w:val="ru-RU"/>
        </w:rPr>
        <w:t>осіб</w:t>
      </w:r>
      <w:proofErr w:type="gramEnd"/>
      <w:r w:rsidRPr="009C4164">
        <w:rPr>
          <w:sz w:val="20"/>
          <w:szCs w:val="20"/>
          <w:highlight w:val="white"/>
          <w:lang w:val="ru-RU"/>
        </w:rPr>
        <w:t xml:space="preserve"> (ДУ “Центр громадського здоров’я МОЗ України”, 2019). За біо-пов</w:t>
      </w:r>
      <w:r w:rsidRPr="009C4164">
        <w:rPr>
          <w:sz w:val="20"/>
          <w:szCs w:val="20"/>
          <w:highlight w:val="white"/>
          <w:lang w:val="ru-RU"/>
        </w:rPr>
        <w:t xml:space="preserve">едінковими </w:t>
      </w:r>
      <w:proofErr w:type="gramStart"/>
      <w:r w:rsidRPr="009C4164">
        <w:rPr>
          <w:sz w:val="20"/>
          <w:szCs w:val="20"/>
          <w:highlight w:val="white"/>
          <w:lang w:val="ru-RU"/>
        </w:rPr>
        <w:t>досл</w:t>
      </w:r>
      <w:proofErr w:type="gramEnd"/>
      <w:r w:rsidRPr="009C4164">
        <w:rPr>
          <w:sz w:val="20"/>
          <w:szCs w:val="20"/>
          <w:highlight w:val="white"/>
          <w:lang w:val="ru-RU"/>
        </w:rPr>
        <w:t>ідженнями 2017 року, частка жінок серед споживачів ін’єкційних наркотиків становить 18%. На рівні Києва оціночна кількість ЛВНІ становить 33 800 осіб, 6084 з яких -- жінки (18%) (МБФ “Альянс громадського здоров’я”, 2019). Таким чином, частка</w:t>
      </w:r>
      <w:r w:rsidRPr="009C4164">
        <w:rPr>
          <w:sz w:val="20"/>
          <w:szCs w:val="20"/>
          <w:highlight w:val="white"/>
          <w:lang w:val="ru-RU"/>
        </w:rPr>
        <w:t xml:space="preserve"> жінок, що вживають наркотики ін’єкційно, є істотно нижчою за частку чолові</w:t>
      </w:r>
      <w:proofErr w:type="gramStart"/>
      <w:r w:rsidRPr="009C4164">
        <w:rPr>
          <w:sz w:val="20"/>
          <w:szCs w:val="20"/>
          <w:highlight w:val="white"/>
          <w:lang w:val="ru-RU"/>
        </w:rPr>
        <w:t>к</w:t>
      </w:r>
      <w:proofErr w:type="gramEnd"/>
      <w:r w:rsidRPr="009C4164">
        <w:rPr>
          <w:sz w:val="20"/>
          <w:szCs w:val="20"/>
          <w:highlight w:val="white"/>
          <w:lang w:val="ru-RU"/>
        </w:rPr>
        <w:t xml:space="preserve">ів. Даний аспект необхідно враховувати при оцінці кількості злочинів, пов’язаних з наркотиками,  що були здійснені чоловіками і жінками. </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lastRenderedPageBreak/>
        <w:t>Групою ризику щодо початку вживання наркот</w:t>
      </w:r>
      <w:r w:rsidRPr="009C4164">
        <w:rPr>
          <w:sz w:val="20"/>
          <w:szCs w:val="20"/>
          <w:highlight w:val="white"/>
          <w:lang w:val="ru-RU"/>
        </w:rPr>
        <w:t xml:space="preserve">иків також є жінки комерційного сексу (ЖКС). Станом на 2019 </w:t>
      </w:r>
      <w:proofErr w:type="gramStart"/>
      <w:r w:rsidRPr="009C4164">
        <w:rPr>
          <w:sz w:val="20"/>
          <w:szCs w:val="20"/>
          <w:highlight w:val="white"/>
          <w:lang w:val="ru-RU"/>
        </w:rPr>
        <w:t>р</w:t>
      </w:r>
      <w:proofErr w:type="gramEnd"/>
      <w:r w:rsidRPr="009C4164">
        <w:rPr>
          <w:sz w:val="20"/>
          <w:szCs w:val="20"/>
          <w:highlight w:val="white"/>
          <w:lang w:val="ru-RU"/>
        </w:rPr>
        <w:t>ік в м. Києві оціночна кількість жінок, що надають сексуальні послуги за плату, становила 14 600 осіб. Поширеність вживання наркотиків серед ЖКС в Києві становить 9,6% для ін’єкційного вживання т</w:t>
      </w:r>
      <w:r w:rsidRPr="009C4164">
        <w:rPr>
          <w:sz w:val="20"/>
          <w:szCs w:val="20"/>
          <w:highlight w:val="white"/>
          <w:lang w:val="ru-RU"/>
        </w:rPr>
        <w:t xml:space="preserve">а 16,7% -- для неін’єкційного (МБФ “Альянс громадського здоров’я”, 2019). </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t xml:space="preserve">Низка </w:t>
      </w:r>
      <w:proofErr w:type="gramStart"/>
      <w:r w:rsidRPr="009C4164">
        <w:rPr>
          <w:sz w:val="20"/>
          <w:szCs w:val="20"/>
          <w:highlight w:val="white"/>
          <w:lang w:val="ru-RU"/>
        </w:rPr>
        <w:t>досл</w:t>
      </w:r>
      <w:proofErr w:type="gramEnd"/>
      <w:r w:rsidRPr="009C4164">
        <w:rPr>
          <w:sz w:val="20"/>
          <w:szCs w:val="20"/>
          <w:highlight w:val="white"/>
          <w:lang w:val="ru-RU"/>
        </w:rPr>
        <w:t xml:space="preserve">іджень стверджує, що жінки схильні вживати наркотики з сексуальним партнером, в тому числі, починати вживати наркотики через свого сексуального партнера. В той самий час, </w:t>
      </w:r>
      <w:r w:rsidRPr="009C4164">
        <w:rPr>
          <w:sz w:val="20"/>
          <w:szCs w:val="20"/>
          <w:highlight w:val="white"/>
          <w:lang w:val="ru-RU"/>
        </w:rPr>
        <w:t>чоловіки більш схильні вживати наркотики зі своїми друзями-чоловіками (</w:t>
      </w:r>
      <w:r>
        <w:rPr>
          <w:sz w:val="20"/>
          <w:szCs w:val="20"/>
          <w:highlight w:val="white"/>
        </w:rPr>
        <w:t>Ellen</w:t>
      </w:r>
      <w:r w:rsidRPr="009C4164">
        <w:rPr>
          <w:sz w:val="20"/>
          <w:szCs w:val="20"/>
          <w:highlight w:val="white"/>
          <w:lang w:val="ru-RU"/>
        </w:rPr>
        <w:t xml:space="preserve"> </w:t>
      </w:r>
      <w:r>
        <w:rPr>
          <w:sz w:val="20"/>
          <w:szCs w:val="20"/>
          <w:highlight w:val="white"/>
        </w:rPr>
        <w:t>Tuchman</w:t>
      </w:r>
      <w:r w:rsidRPr="009C4164">
        <w:rPr>
          <w:sz w:val="20"/>
          <w:szCs w:val="20"/>
          <w:highlight w:val="white"/>
          <w:lang w:val="ru-RU"/>
        </w:rPr>
        <w:t xml:space="preserve">, 2010). Важливо також зауважити, що поширеність досвіду гендерного насильства серед жінок, які вживають наркотики, є в 2-5 разів вищою </w:t>
      </w:r>
      <w:proofErr w:type="gramStart"/>
      <w:r w:rsidRPr="009C4164">
        <w:rPr>
          <w:sz w:val="20"/>
          <w:szCs w:val="20"/>
          <w:highlight w:val="white"/>
          <w:lang w:val="ru-RU"/>
        </w:rPr>
        <w:t>ніж</w:t>
      </w:r>
      <w:proofErr w:type="gramEnd"/>
      <w:r w:rsidRPr="009C4164">
        <w:rPr>
          <w:sz w:val="20"/>
          <w:szCs w:val="20"/>
          <w:highlight w:val="white"/>
          <w:lang w:val="ru-RU"/>
        </w:rPr>
        <w:t xml:space="preserve"> серед загального жіночого населе</w:t>
      </w:r>
      <w:r w:rsidRPr="009C4164">
        <w:rPr>
          <w:sz w:val="20"/>
          <w:szCs w:val="20"/>
          <w:highlight w:val="white"/>
          <w:lang w:val="ru-RU"/>
        </w:rPr>
        <w:t>ння (</w:t>
      </w:r>
      <w:r>
        <w:rPr>
          <w:sz w:val="20"/>
          <w:szCs w:val="20"/>
          <w:highlight w:val="white"/>
        </w:rPr>
        <w:t>UNODC</w:t>
      </w:r>
      <w:r w:rsidRPr="009C4164">
        <w:rPr>
          <w:sz w:val="20"/>
          <w:szCs w:val="20"/>
          <w:highlight w:val="white"/>
          <w:lang w:val="ru-RU"/>
        </w:rPr>
        <w:t>, 2018). Проте, це не означа</w:t>
      </w:r>
      <w:proofErr w:type="gramStart"/>
      <w:r w:rsidRPr="009C4164">
        <w:rPr>
          <w:sz w:val="20"/>
          <w:szCs w:val="20"/>
          <w:highlight w:val="white"/>
          <w:lang w:val="ru-RU"/>
        </w:rPr>
        <w:t>є,</w:t>
      </w:r>
      <w:proofErr w:type="gramEnd"/>
      <w:r w:rsidRPr="009C4164">
        <w:rPr>
          <w:sz w:val="20"/>
          <w:szCs w:val="20"/>
          <w:highlight w:val="white"/>
          <w:lang w:val="ru-RU"/>
        </w:rPr>
        <w:t xml:space="preserve"> що жінки, які вживають наркотики мають вищий ризик потрапляння в ситуацію насильства. Скоріше така статистика обумовлюється подвійною вразливістю цієї категорії жінок: </w:t>
      </w:r>
      <w:proofErr w:type="gramStart"/>
      <w:r w:rsidRPr="009C4164">
        <w:rPr>
          <w:sz w:val="20"/>
          <w:szCs w:val="20"/>
          <w:highlight w:val="white"/>
          <w:lang w:val="ru-RU"/>
        </w:rPr>
        <w:t>кр</w:t>
      </w:r>
      <w:proofErr w:type="gramEnd"/>
      <w:r w:rsidRPr="009C4164">
        <w:rPr>
          <w:sz w:val="20"/>
          <w:szCs w:val="20"/>
          <w:highlight w:val="white"/>
          <w:lang w:val="ru-RU"/>
        </w:rPr>
        <w:t xml:space="preserve">ім пригніченої позиції з огляду на її стать, </w:t>
      </w:r>
      <w:r w:rsidRPr="009C4164">
        <w:rPr>
          <w:sz w:val="20"/>
          <w:szCs w:val="20"/>
          <w:highlight w:val="white"/>
          <w:lang w:val="ru-RU"/>
        </w:rPr>
        <w:t xml:space="preserve">така жінка зазнає стигматизації та дискримінації як особа, що вживає наркотики, що автоматично переносить всі ризики такого статусу. До того ж, саме нарковживання може бути результатом гендерного насильства, якого зазнала жінка в дитинстві. </w:t>
      </w:r>
      <w:proofErr w:type="gramStart"/>
      <w:r w:rsidRPr="009C4164">
        <w:rPr>
          <w:sz w:val="20"/>
          <w:szCs w:val="20"/>
          <w:highlight w:val="white"/>
          <w:lang w:val="ru-RU"/>
        </w:rPr>
        <w:t>В</w:t>
      </w:r>
      <w:proofErr w:type="gramEnd"/>
      <w:r w:rsidRPr="009C4164">
        <w:rPr>
          <w:sz w:val="20"/>
          <w:szCs w:val="20"/>
          <w:highlight w:val="white"/>
          <w:lang w:val="ru-RU"/>
        </w:rPr>
        <w:t xml:space="preserve"> </w:t>
      </w:r>
      <w:proofErr w:type="gramStart"/>
      <w:r w:rsidRPr="009C4164">
        <w:rPr>
          <w:sz w:val="20"/>
          <w:szCs w:val="20"/>
          <w:highlight w:val="white"/>
          <w:lang w:val="ru-RU"/>
        </w:rPr>
        <w:t>такому</w:t>
      </w:r>
      <w:proofErr w:type="gramEnd"/>
      <w:r w:rsidRPr="009C4164">
        <w:rPr>
          <w:sz w:val="20"/>
          <w:szCs w:val="20"/>
          <w:highlight w:val="white"/>
          <w:lang w:val="ru-RU"/>
        </w:rPr>
        <w:t xml:space="preserve"> випадк</w:t>
      </w:r>
      <w:r w:rsidRPr="009C4164">
        <w:rPr>
          <w:sz w:val="20"/>
          <w:szCs w:val="20"/>
          <w:highlight w:val="white"/>
          <w:lang w:val="ru-RU"/>
        </w:rPr>
        <w:t xml:space="preserve">у мотивацією до вживання наркотиків слугує мета самолікування завданої в дитинстві травми. </w:t>
      </w:r>
    </w:p>
    <w:p w:rsidR="00BA7A83" w:rsidRPr="009C4164" w:rsidRDefault="009C4164">
      <w:pPr>
        <w:spacing w:before="240" w:after="240"/>
        <w:jc w:val="both"/>
        <w:rPr>
          <w:sz w:val="20"/>
          <w:szCs w:val="20"/>
          <w:highlight w:val="white"/>
          <w:lang w:val="ru-RU"/>
        </w:rPr>
      </w:pPr>
      <w:r w:rsidRPr="009C4164">
        <w:rPr>
          <w:sz w:val="20"/>
          <w:szCs w:val="20"/>
          <w:highlight w:val="white"/>
          <w:lang w:val="ru-RU"/>
        </w:rPr>
        <w:t xml:space="preserve">Таким чином, жіноча позиція </w:t>
      </w:r>
      <w:proofErr w:type="gramStart"/>
      <w:r w:rsidRPr="009C4164">
        <w:rPr>
          <w:sz w:val="20"/>
          <w:szCs w:val="20"/>
          <w:highlight w:val="white"/>
          <w:lang w:val="ru-RU"/>
        </w:rPr>
        <w:t>в</w:t>
      </w:r>
      <w:proofErr w:type="gramEnd"/>
      <w:r w:rsidRPr="009C4164">
        <w:rPr>
          <w:sz w:val="20"/>
          <w:szCs w:val="20"/>
          <w:highlight w:val="white"/>
          <w:lang w:val="ru-RU"/>
        </w:rPr>
        <w:t xml:space="preserve"> культурі нарковживання та наркобізнесу є набагато більш ризикованою, ніж чоловіча. </w:t>
      </w:r>
      <w:proofErr w:type="gramStart"/>
      <w:r w:rsidRPr="009C4164">
        <w:rPr>
          <w:sz w:val="20"/>
          <w:szCs w:val="20"/>
          <w:highlight w:val="white"/>
          <w:lang w:val="ru-RU"/>
        </w:rPr>
        <w:t>Жінка зазнає впливу гендерних стереотипів та патріархальної культури, яка може спонукати її до початку вживання наркотиків. Гендерні особливост</w:t>
      </w:r>
      <w:r w:rsidRPr="009C4164">
        <w:rPr>
          <w:sz w:val="20"/>
          <w:szCs w:val="20"/>
          <w:highlight w:val="white"/>
          <w:lang w:val="ru-RU"/>
        </w:rPr>
        <w:t>і нарковживання впливають як на загальні моделі вживання наркотиків (частота, тип наркотичної речовини, продовжуваність вживання), так і на наслідки нарковживання, в тому числі, застосування нормативних положень та процес судочинства у випадку злочинів, по</w:t>
      </w:r>
      <w:r w:rsidRPr="009C4164">
        <w:rPr>
          <w:sz w:val="20"/>
          <w:szCs w:val="20"/>
          <w:highlight w:val="white"/>
          <w:lang w:val="ru-RU"/>
        </w:rPr>
        <w:t xml:space="preserve">в’язаних з наркотиками. </w:t>
      </w:r>
      <w:proofErr w:type="gramEnd"/>
    </w:p>
    <w:p w:rsidR="00BA7A83" w:rsidRPr="009C4164" w:rsidRDefault="009C4164">
      <w:pPr>
        <w:spacing w:before="240" w:after="240"/>
        <w:jc w:val="both"/>
        <w:rPr>
          <w:b/>
          <w:sz w:val="20"/>
          <w:szCs w:val="20"/>
          <w:highlight w:val="white"/>
          <w:lang w:val="ru-RU"/>
        </w:rPr>
      </w:pPr>
      <w:r w:rsidRPr="009C4164">
        <w:rPr>
          <w:b/>
          <w:sz w:val="20"/>
          <w:szCs w:val="20"/>
          <w:highlight w:val="white"/>
          <w:lang w:val="ru-RU"/>
        </w:rPr>
        <w:t>АНАЛІ</w:t>
      </w:r>
      <w:proofErr w:type="gramStart"/>
      <w:r w:rsidRPr="009C4164">
        <w:rPr>
          <w:b/>
          <w:sz w:val="20"/>
          <w:szCs w:val="20"/>
          <w:highlight w:val="white"/>
          <w:lang w:val="ru-RU"/>
        </w:rPr>
        <w:t>З</w:t>
      </w:r>
      <w:proofErr w:type="gramEnd"/>
      <w:r w:rsidRPr="009C4164">
        <w:rPr>
          <w:b/>
          <w:sz w:val="20"/>
          <w:szCs w:val="20"/>
          <w:highlight w:val="white"/>
          <w:lang w:val="ru-RU"/>
        </w:rPr>
        <w:t xml:space="preserve"> ОБВИНУВАЧУВАЛЬНИХ ВИРОКІВ (Ч.1 СТ. 309 КК) ЗА 2019 РІК</w:t>
      </w:r>
    </w:p>
    <w:p w:rsidR="00BA7A83" w:rsidRPr="009C4164" w:rsidRDefault="009C4164">
      <w:pPr>
        <w:spacing w:before="240" w:after="240"/>
        <w:jc w:val="both"/>
        <w:rPr>
          <w:b/>
          <w:sz w:val="20"/>
          <w:szCs w:val="20"/>
          <w:lang w:val="ru-RU"/>
        </w:rPr>
      </w:pPr>
      <w:r w:rsidRPr="009C4164">
        <w:rPr>
          <w:b/>
          <w:sz w:val="20"/>
          <w:szCs w:val="20"/>
          <w:lang w:val="ru-RU"/>
        </w:rPr>
        <w:t>Методологія</w:t>
      </w:r>
    </w:p>
    <w:p w:rsidR="00BA7A83" w:rsidRPr="009C4164" w:rsidRDefault="009C4164">
      <w:pPr>
        <w:spacing w:before="240" w:after="240"/>
        <w:jc w:val="both"/>
        <w:rPr>
          <w:sz w:val="20"/>
          <w:szCs w:val="20"/>
          <w:lang w:val="ru-RU"/>
        </w:rPr>
      </w:pPr>
      <w:r w:rsidRPr="009C4164">
        <w:rPr>
          <w:sz w:val="20"/>
          <w:szCs w:val="20"/>
          <w:lang w:val="ru-RU"/>
        </w:rPr>
        <w:t xml:space="preserve">В цілях </w:t>
      </w:r>
      <w:proofErr w:type="gramStart"/>
      <w:r w:rsidRPr="009C4164">
        <w:rPr>
          <w:sz w:val="20"/>
          <w:szCs w:val="20"/>
          <w:lang w:val="ru-RU"/>
        </w:rPr>
        <w:t>досл</w:t>
      </w:r>
      <w:proofErr w:type="gramEnd"/>
      <w:r w:rsidRPr="009C4164">
        <w:rPr>
          <w:sz w:val="20"/>
          <w:szCs w:val="20"/>
          <w:lang w:val="ru-RU"/>
        </w:rPr>
        <w:t xml:space="preserve">ідження було сформовано набір даних даних на базі Єдиного реєстру судових рішень за допомогою </w:t>
      </w:r>
      <w:r>
        <w:rPr>
          <w:sz w:val="20"/>
          <w:szCs w:val="20"/>
        </w:rPr>
        <w:t>API</w:t>
      </w:r>
      <w:r w:rsidRPr="009C4164">
        <w:rPr>
          <w:sz w:val="20"/>
          <w:szCs w:val="20"/>
          <w:lang w:val="ru-RU"/>
        </w:rPr>
        <w:t xml:space="preserve"> «Суд на долоні». Вибірка судових </w:t>
      </w:r>
      <w:proofErr w:type="gramStart"/>
      <w:r w:rsidRPr="009C4164">
        <w:rPr>
          <w:sz w:val="20"/>
          <w:szCs w:val="20"/>
          <w:lang w:val="ru-RU"/>
        </w:rPr>
        <w:t>р</w:t>
      </w:r>
      <w:proofErr w:type="gramEnd"/>
      <w:r w:rsidRPr="009C4164">
        <w:rPr>
          <w:sz w:val="20"/>
          <w:szCs w:val="20"/>
          <w:lang w:val="ru-RU"/>
        </w:rPr>
        <w:t>ішень відпові</w:t>
      </w:r>
      <w:r w:rsidRPr="009C4164">
        <w:rPr>
          <w:sz w:val="20"/>
          <w:szCs w:val="20"/>
          <w:lang w:val="ru-RU"/>
        </w:rPr>
        <w:t>дає генеральній сукупності, з можливою втратою до 5% рішень. Вибірка містить вироки суддів першої інстанції у справах за частиною 1 статті 309 Кримінального Кодексу «Незаконне виробництво, виготовлення, придбання, зберігання, перевезення чи пересилання нар</w:t>
      </w:r>
      <w:r w:rsidRPr="009C4164">
        <w:rPr>
          <w:sz w:val="20"/>
          <w:szCs w:val="20"/>
          <w:lang w:val="ru-RU"/>
        </w:rPr>
        <w:t xml:space="preserve">котичних засобів, психотропних речовин або їх аналогів без мети збуту» за 2019 </w:t>
      </w:r>
      <w:proofErr w:type="gramStart"/>
      <w:r w:rsidRPr="009C4164">
        <w:rPr>
          <w:sz w:val="20"/>
          <w:szCs w:val="20"/>
          <w:lang w:val="ru-RU"/>
        </w:rPr>
        <w:t>р</w:t>
      </w:r>
      <w:proofErr w:type="gramEnd"/>
      <w:r w:rsidRPr="009C4164">
        <w:rPr>
          <w:sz w:val="20"/>
          <w:szCs w:val="20"/>
          <w:lang w:val="ru-RU"/>
        </w:rPr>
        <w:t>ік.</w:t>
      </w:r>
    </w:p>
    <w:p w:rsidR="00BA7A83" w:rsidRPr="009C4164" w:rsidRDefault="009C4164">
      <w:pPr>
        <w:spacing w:before="240" w:after="240"/>
        <w:jc w:val="both"/>
        <w:rPr>
          <w:sz w:val="20"/>
          <w:szCs w:val="20"/>
          <w:lang w:val="ru-RU"/>
        </w:rPr>
      </w:pPr>
      <w:r w:rsidRPr="009C4164">
        <w:rPr>
          <w:sz w:val="20"/>
          <w:szCs w:val="20"/>
          <w:lang w:val="ru-RU"/>
        </w:rPr>
        <w:t xml:space="preserve">До вибірки увійшли </w:t>
      </w:r>
      <w:proofErr w:type="gramStart"/>
      <w:r w:rsidRPr="009C4164">
        <w:rPr>
          <w:sz w:val="20"/>
          <w:szCs w:val="20"/>
          <w:lang w:val="ru-RU"/>
        </w:rPr>
        <w:t>р</w:t>
      </w:r>
      <w:proofErr w:type="gramEnd"/>
      <w:r w:rsidRPr="009C4164">
        <w:rPr>
          <w:sz w:val="20"/>
          <w:szCs w:val="20"/>
          <w:lang w:val="ru-RU"/>
        </w:rPr>
        <w:t>ішення, в яких за результатом розгляду було призначено покарання, встановлене санкцією відповідної статті. Оскільки метою дослідження було встановити ме</w:t>
      </w:r>
      <w:r w:rsidRPr="009C4164">
        <w:rPr>
          <w:sz w:val="20"/>
          <w:szCs w:val="20"/>
          <w:lang w:val="ru-RU"/>
        </w:rPr>
        <w:t>жі та середнє призначення покарання саме за цією статтею, то з вибірки були виключені рішення, в яких застосовуються положення щодо призначення покарання за сукупністю (а саме, ст.ст.70,71,72 Кримінального Кодексу), оскільки призначаючи покарання за сукупн</w:t>
      </w:r>
      <w:r w:rsidRPr="009C4164">
        <w:rPr>
          <w:sz w:val="20"/>
          <w:szCs w:val="20"/>
          <w:lang w:val="ru-RU"/>
        </w:rPr>
        <w:t xml:space="preserve">істю, суди схильні виносити суворіші </w:t>
      </w:r>
      <w:proofErr w:type="gramStart"/>
      <w:r w:rsidRPr="009C4164">
        <w:rPr>
          <w:sz w:val="20"/>
          <w:szCs w:val="20"/>
          <w:lang w:val="ru-RU"/>
        </w:rPr>
        <w:t>р</w:t>
      </w:r>
      <w:proofErr w:type="gramEnd"/>
      <w:r w:rsidRPr="009C4164">
        <w:rPr>
          <w:sz w:val="20"/>
          <w:szCs w:val="20"/>
          <w:lang w:val="ru-RU"/>
        </w:rPr>
        <w:t xml:space="preserve">ішення, встановлюючи максимально можливе покарання. Це, зокрема, </w:t>
      </w:r>
      <w:proofErr w:type="gramStart"/>
      <w:r w:rsidRPr="009C4164">
        <w:rPr>
          <w:sz w:val="20"/>
          <w:szCs w:val="20"/>
          <w:lang w:val="ru-RU"/>
        </w:rPr>
        <w:t>пов’язано</w:t>
      </w:r>
      <w:proofErr w:type="gramEnd"/>
      <w:r w:rsidRPr="009C4164">
        <w:rPr>
          <w:sz w:val="20"/>
          <w:szCs w:val="20"/>
          <w:lang w:val="ru-RU"/>
        </w:rPr>
        <w:t xml:space="preserve"> з тим, що суди часто керуються принципом поглинання меншого покарання більш суворим. </w:t>
      </w:r>
    </w:p>
    <w:p w:rsidR="00BA7A83" w:rsidRPr="009C4164" w:rsidRDefault="009C4164">
      <w:pPr>
        <w:spacing w:before="240" w:after="240"/>
        <w:jc w:val="both"/>
        <w:rPr>
          <w:sz w:val="20"/>
          <w:szCs w:val="20"/>
          <w:lang w:val="ru-RU"/>
        </w:rPr>
      </w:pPr>
      <w:r w:rsidRPr="009C4164">
        <w:rPr>
          <w:sz w:val="20"/>
          <w:szCs w:val="20"/>
          <w:lang w:val="ru-RU"/>
        </w:rPr>
        <w:t>Загальна кількість судових вирокі</w:t>
      </w:r>
      <w:proofErr w:type="gramStart"/>
      <w:r w:rsidRPr="009C4164">
        <w:rPr>
          <w:sz w:val="20"/>
          <w:szCs w:val="20"/>
          <w:lang w:val="ru-RU"/>
        </w:rPr>
        <w:t>в</w:t>
      </w:r>
      <w:proofErr w:type="gramEnd"/>
      <w:r w:rsidRPr="009C4164">
        <w:rPr>
          <w:sz w:val="20"/>
          <w:szCs w:val="20"/>
          <w:lang w:val="ru-RU"/>
        </w:rPr>
        <w:t>, які увійшли до вибірк</w:t>
      </w:r>
      <w:r w:rsidRPr="009C4164">
        <w:rPr>
          <w:sz w:val="20"/>
          <w:szCs w:val="20"/>
          <w:lang w:val="ru-RU"/>
        </w:rPr>
        <w:t xml:space="preserve">и – 5530 вироків. </w:t>
      </w:r>
    </w:p>
    <w:p w:rsidR="00BA7A83" w:rsidRPr="009C4164" w:rsidRDefault="009C4164">
      <w:pPr>
        <w:spacing w:before="240" w:after="240"/>
        <w:jc w:val="both"/>
        <w:rPr>
          <w:sz w:val="20"/>
          <w:szCs w:val="20"/>
          <w:lang w:val="ru-RU"/>
        </w:rPr>
      </w:pPr>
      <w:r w:rsidRPr="009C4164">
        <w:rPr>
          <w:sz w:val="20"/>
          <w:szCs w:val="20"/>
          <w:lang w:val="ru-RU"/>
        </w:rPr>
        <w:t xml:space="preserve">Вибірка містить такі змінні: унікальний ідентифікатор судового </w:t>
      </w:r>
      <w:proofErr w:type="gramStart"/>
      <w:r w:rsidRPr="009C4164">
        <w:rPr>
          <w:sz w:val="20"/>
          <w:szCs w:val="20"/>
          <w:lang w:val="ru-RU"/>
        </w:rPr>
        <w:t>р</w:t>
      </w:r>
      <w:proofErr w:type="gramEnd"/>
      <w:r w:rsidRPr="009C4164">
        <w:rPr>
          <w:sz w:val="20"/>
          <w:szCs w:val="20"/>
          <w:lang w:val="ru-RU"/>
        </w:rPr>
        <w:t>ішення, тип покарання, кількість покарання, стать, звільнення від відповідальності, угода між прокурором та обвинувачен_ою.</w:t>
      </w:r>
    </w:p>
    <w:p w:rsidR="00BA7A83" w:rsidRPr="009C4164" w:rsidRDefault="009C4164">
      <w:pPr>
        <w:jc w:val="both"/>
        <w:rPr>
          <w:sz w:val="20"/>
          <w:szCs w:val="20"/>
          <w:lang w:val="ru-RU"/>
        </w:rPr>
      </w:pPr>
      <w:r w:rsidRPr="009C4164">
        <w:rPr>
          <w:sz w:val="20"/>
          <w:szCs w:val="20"/>
          <w:lang w:val="ru-RU"/>
        </w:rPr>
        <w:lastRenderedPageBreak/>
        <w:t xml:space="preserve">Варто також окреслити обмеження </w:t>
      </w:r>
      <w:proofErr w:type="gramStart"/>
      <w:r w:rsidRPr="009C4164">
        <w:rPr>
          <w:sz w:val="20"/>
          <w:szCs w:val="20"/>
          <w:lang w:val="ru-RU"/>
        </w:rPr>
        <w:t>досл</w:t>
      </w:r>
      <w:proofErr w:type="gramEnd"/>
      <w:r w:rsidRPr="009C4164">
        <w:rPr>
          <w:sz w:val="20"/>
          <w:szCs w:val="20"/>
          <w:lang w:val="ru-RU"/>
        </w:rPr>
        <w:t xml:space="preserve">ідження. При </w:t>
      </w:r>
      <w:r w:rsidRPr="009C4164">
        <w:rPr>
          <w:sz w:val="20"/>
          <w:szCs w:val="20"/>
          <w:lang w:val="ru-RU"/>
        </w:rPr>
        <w:t xml:space="preserve">аналізі не було враховано, зокрема, такий фактор як вид наркотику, який було виявлено у обвинувачен_ої. </w:t>
      </w:r>
      <w:proofErr w:type="gramStart"/>
      <w:r w:rsidRPr="009C4164">
        <w:rPr>
          <w:sz w:val="20"/>
          <w:szCs w:val="20"/>
          <w:lang w:val="ru-RU"/>
        </w:rPr>
        <w:t>Кр</w:t>
      </w:r>
      <w:proofErr w:type="gramEnd"/>
      <w:r w:rsidRPr="009C4164">
        <w:rPr>
          <w:sz w:val="20"/>
          <w:szCs w:val="20"/>
          <w:lang w:val="ru-RU"/>
        </w:rPr>
        <w:t>ім того процес призначення покрання є дуже ньюансованим і в кожному конкретному випадку суд приймає унікальне рішення, виходячи з обставин конкретного</w:t>
      </w:r>
      <w:r w:rsidRPr="009C4164">
        <w:rPr>
          <w:sz w:val="20"/>
          <w:szCs w:val="20"/>
          <w:lang w:val="ru-RU"/>
        </w:rPr>
        <w:t xml:space="preserve"> діяння, особистості обвинувачен_ої та інших факторів. Також дані не враховують стать суддів, які виносили рішення </w:t>
      </w:r>
      <w:proofErr w:type="gramStart"/>
      <w:r w:rsidRPr="009C4164">
        <w:rPr>
          <w:sz w:val="20"/>
          <w:szCs w:val="20"/>
          <w:lang w:val="ru-RU"/>
        </w:rPr>
        <w:t>по</w:t>
      </w:r>
      <w:proofErr w:type="gramEnd"/>
      <w:r w:rsidRPr="009C4164">
        <w:rPr>
          <w:sz w:val="20"/>
          <w:szCs w:val="20"/>
          <w:lang w:val="ru-RU"/>
        </w:rPr>
        <w:t xml:space="preserve"> справах, що теоретично також могло б впливати на суворість призначення покарань. </w:t>
      </w:r>
    </w:p>
    <w:p w:rsidR="00BA7A83" w:rsidRPr="009C4164" w:rsidRDefault="00BA7A83">
      <w:pPr>
        <w:jc w:val="both"/>
        <w:rPr>
          <w:sz w:val="20"/>
          <w:szCs w:val="20"/>
          <w:lang w:val="ru-RU"/>
        </w:rPr>
      </w:pPr>
    </w:p>
    <w:p w:rsidR="00BA7A83" w:rsidRPr="009C4164" w:rsidRDefault="009C4164">
      <w:pPr>
        <w:jc w:val="both"/>
        <w:rPr>
          <w:b/>
          <w:sz w:val="20"/>
          <w:szCs w:val="20"/>
          <w:lang w:val="ru-RU"/>
        </w:rPr>
      </w:pPr>
      <w:r w:rsidRPr="009C4164">
        <w:rPr>
          <w:b/>
          <w:sz w:val="20"/>
          <w:szCs w:val="20"/>
          <w:lang w:val="ru-RU"/>
        </w:rPr>
        <w:t>Результати</w:t>
      </w:r>
    </w:p>
    <w:p w:rsidR="00BA7A83" w:rsidRPr="009C4164" w:rsidRDefault="009C4164">
      <w:pPr>
        <w:spacing w:before="240" w:after="240"/>
        <w:jc w:val="both"/>
        <w:rPr>
          <w:sz w:val="20"/>
          <w:szCs w:val="20"/>
          <w:lang w:val="ru-RU"/>
        </w:rPr>
      </w:pPr>
      <w:r w:rsidRPr="009C4164">
        <w:rPr>
          <w:sz w:val="20"/>
          <w:szCs w:val="20"/>
          <w:lang w:val="ru-RU"/>
        </w:rPr>
        <w:t xml:space="preserve">Аналізовані </w:t>
      </w:r>
      <w:proofErr w:type="gramStart"/>
      <w:r w:rsidRPr="009C4164">
        <w:rPr>
          <w:sz w:val="20"/>
          <w:szCs w:val="20"/>
          <w:lang w:val="ru-RU"/>
        </w:rPr>
        <w:t>дан</w:t>
      </w:r>
      <w:proofErr w:type="gramEnd"/>
      <w:r w:rsidRPr="009C4164">
        <w:rPr>
          <w:sz w:val="20"/>
          <w:szCs w:val="20"/>
          <w:lang w:val="ru-RU"/>
        </w:rPr>
        <w:t>і містять 5097 вироків чолові</w:t>
      </w:r>
      <w:r w:rsidRPr="009C4164">
        <w:rPr>
          <w:sz w:val="20"/>
          <w:szCs w:val="20"/>
          <w:lang w:val="ru-RU"/>
        </w:rPr>
        <w:t xml:space="preserve">кам та  433 вироків жінкам, що складає 92 %та 85% відповідно. Згідно зі статистичними даними Генеральної прокуратури за 2019 </w:t>
      </w:r>
      <w:proofErr w:type="gramStart"/>
      <w:r w:rsidRPr="009C4164">
        <w:rPr>
          <w:sz w:val="20"/>
          <w:szCs w:val="20"/>
          <w:lang w:val="ru-RU"/>
        </w:rPr>
        <w:t>р</w:t>
      </w:r>
      <w:proofErr w:type="gramEnd"/>
      <w:r w:rsidRPr="009C4164">
        <w:rPr>
          <w:sz w:val="20"/>
          <w:szCs w:val="20"/>
          <w:lang w:val="ru-RU"/>
        </w:rPr>
        <w:t xml:space="preserve">ік було виявлено 11 097 осіб, які вчинили кримінальне правопорушення за статтею 309 Кримінального Кодексу. Серед цих </w:t>
      </w:r>
      <w:proofErr w:type="gramStart"/>
      <w:r w:rsidRPr="009C4164">
        <w:rPr>
          <w:sz w:val="20"/>
          <w:szCs w:val="20"/>
          <w:lang w:val="ru-RU"/>
        </w:rPr>
        <w:t>осіб</w:t>
      </w:r>
      <w:proofErr w:type="gramEnd"/>
      <w:r w:rsidRPr="009C4164">
        <w:rPr>
          <w:sz w:val="20"/>
          <w:szCs w:val="20"/>
          <w:lang w:val="ru-RU"/>
        </w:rPr>
        <w:t xml:space="preserve"> 782 жінк</w:t>
      </w:r>
      <w:r w:rsidRPr="009C4164">
        <w:rPr>
          <w:sz w:val="20"/>
          <w:szCs w:val="20"/>
          <w:lang w:val="ru-RU"/>
        </w:rPr>
        <w:t xml:space="preserve">и, що складає близько 7 %. </w:t>
      </w:r>
    </w:p>
    <w:p w:rsidR="00BA7A83" w:rsidRPr="009C4164" w:rsidRDefault="009C4164">
      <w:pPr>
        <w:spacing w:before="240" w:after="240"/>
        <w:jc w:val="both"/>
        <w:rPr>
          <w:b/>
          <w:sz w:val="20"/>
          <w:szCs w:val="20"/>
          <w:lang w:val="ru-RU"/>
        </w:rPr>
      </w:pPr>
      <w:r w:rsidRPr="009C4164">
        <w:rPr>
          <w:sz w:val="20"/>
          <w:szCs w:val="20"/>
          <w:lang w:val="ru-RU"/>
        </w:rPr>
        <w:t>На основі цих даних ґендерний розподіл осіб, що потрапляють в систему правосуддя в якості обвинувачених за аналізованою статтею, складає 91-94% чолові</w:t>
      </w:r>
      <w:proofErr w:type="gramStart"/>
      <w:r w:rsidRPr="009C4164">
        <w:rPr>
          <w:sz w:val="20"/>
          <w:szCs w:val="20"/>
          <w:lang w:val="ru-RU"/>
        </w:rPr>
        <w:t>к</w:t>
      </w:r>
      <w:proofErr w:type="gramEnd"/>
      <w:r w:rsidRPr="009C4164">
        <w:rPr>
          <w:sz w:val="20"/>
          <w:szCs w:val="20"/>
          <w:lang w:val="ru-RU"/>
        </w:rPr>
        <w:t xml:space="preserve">ів та 9-6% жінок.  Такий ґендерний розподіл не відповідає наявним даним щодо </w:t>
      </w:r>
      <w:r w:rsidRPr="009C4164">
        <w:rPr>
          <w:sz w:val="20"/>
          <w:szCs w:val="20"/>
          <w:lang w:val="ru-RU"/>
        </w:rPr>
        <w:t>ґендерному розподілу серед споживачів наркотичних засобів. Проте, варто зазначити, що аналіз спі</w:t>
      </w:r>
      <w:proofErr w:type="gramStart"/>
      <w:r w:rsidRPr="009C4164">
        <w:rPr>
          <w:sz w:val="20"/>
          <w:szCs w:val="20"/>
          <w:lang w:val="ru-RU"/>
        </w:rPr>
        <w:t>вв</w:t>
      </w:r>
      <w:proofErr w:type="gramEnd"/>
      <w:r w:rsidRPr="009C4164">
        <w:rPr>
          <w:sz w:val="20"/>
          <w:szCs w:val="20"/>
          <w:lang w:val="ru-RU"/>
        </w:rPr>
        <w:t>ідношення людей, що вживають наркотики, за статтю в українському контексті неможливий через відсутність оцінки кількості таких людей серед загального населенн</w:t>
      </w:r>
      <w:r w:rsidRPr="009C4164">
        <w:rPr>
          <w:sz w:val="20"/>
          <w:szCs w:val="20"/>
          <w:lang w:val="ru-RU"/>
        </w:rPr>
        <w:t>я. Наявні дані серед досвіду вживання наркотиків серед шкільної молоді вказу</w:t>
      </w:r>
      <w:proofErr w:type="gramStart"/>
      <w:r w:rsidRPr="009C4164">
        <w:rPr>
          <w:sz w:val="20"/>
          <w:szCs w:val="20"/>
          <w:lang w:val="ru-RU"/>
        </w:rPr>
        <w:t>є,</w:t>
      </w:r>
      <w:proofErr w:type="gramEnd"/>
      <w:r w:rsidRPr="009C4164">
        <w:rPr>
          <w:sz w:val="20"/>
          <w:szCs w:val="20"/>
          <w:lang w:val="ru-RU"/>
        </w:rPr>
        <w:t xml:space="preserve"> що хлопці і дівчата майже однаково часто вживали наркотичні речовини принаймні раз у житті. Гендерне співвідношення осіб, яким була оголошена підозра у скоєнні злочинів за статт</w:t>
      </w:r>
      <w:r w:rsidRPr="009C4164">
        <w:rPr>
          <w:sz w:val="20"/>
          <w:szCs w:val="20"/>
          <w:lang w:val="ru-RU"/>
        </w:rPr>
        <w:t xml:space="preserve">ею 309 КК, ближче до розподілу за статтю серед осіб, що вживають наркотики ін’єкційно. Однак, відсоток жінок, що потрапляють в систему правосуддя, все одно є істотно нижчим </w:t>
      </w:r>
      <w:proofErr w:type="gramStart"/>
      <w:r w:rsidRPr="009C4164">
        <w:rPr>
          <w:sz w:val="20"/>
          <w:szCs w:val="20"/>
          <w:lang w:val="ru-RU"/>
        </w:rPr>
        <w:t>за</w:t>
      </w:r>
      <w:proofErr w:type="gramEnd"/>
      <w:r w:rsidRPr="009C4164">
        <w:rPr>
          <w:sz w:val="20"/>
          <w:szCs w:val="20"/>
          <w:lang w:val="ru-RU"/>
        </w:rPr>
        <w:t xml:space="preserve"> </w:t>
      </w:r>
      <w:proofErr w:type="gramStart"/>
      <w:r w:rsidRPr="009C4164">
        <w:rPr>
          <w:sz w:val="20"/>
          <w:szCs w:val="20"/>
          <w:lang w:val="ru-RU"/>
        </w:rPr>
        <w:t>в</w:t>
      </w:r>
      <w:proofErr w:type="gramEnd"/>
      <w:r w:rsidRPr="009C4164">
        <w:rPr>
          <w:sz w:val="20"/>
          <w:szCs w:val="20"/>
          <w:lang w:val="ru-RU"/>
        </w:rPr>
        <w:t>ідомі оціночі кількості людей, що вживають наркотики. Така ситуація вказує на п</w:t>
      </w:r>
      <w:r w:rsidRPr="009C4164">
        <w:rPr>
          <w:sz w:val="20"/>
          <w:szCs w:val="20"/>
          <w:lang w:val="ru-RU"/>
        </w:rPr>
        <w:t xml:space="preserve">роблеми  ґендерної нерівності в поліціюванні. </w:t>
      </w:r>
    </w:p>
    <w:p w:rsidR="00BA7A83" w:rsidRPr="009C4164" w:rsidRDefault="009C4164">
      <w:pPr>
        <w:jc w:val="both"/>
        <w:rPr>
          <w:b/>
          <w:sz w:val="20"/>
          <w:szCs w:val="20"/>
          <w:lang w:val="ru-RU"/>
        </w:rPr>
      </w:pPr>
      <w:r w:rsidRPr="009C4164">
        <w:rPr>
          <w:b/>
          <w:sz w:val="20"/>
          <w:szCs w:val="20"/>
          <w:lang w:val="ru-RU"/>
        </w:rPr>
        <w:t>Чи карають чоловіків суворіше?</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Санкція статті, яка була чинна на момент винесення судових </w:t>
      </w:r>
      <w:proofErr w:type="gramStart"/>
      <w:r w:rsidRPr="009C4164">
        <w:rPr>
          <w:sz w:val="20"/>
          <w:szCs w:val="20"/>
          <w:lang w:val="ru-RU"/>
        </w:rPr>
        <w:t>р</w:t>
      </w:r>
      <w:proofErr w:type="gramEnd"/>
      <w:r w:rsidRPr="009C4164">
        <w:rPr>
          <w:sz w:val="20"/>
          <w:szCs w:val="20"/>
          <w:lang w:val="ru-RU"/>
        </w:rPr>
        <w:t xml:space="preserve">ішень, встановлювала декілька видів покарання. У зв’язку з цим ми аналізували середню суворість призначення покарання за кожним видом окремо.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За результатами цього дослідження первинна гіпотеза </w:t>
      </w:r>
      <w:r w:rsidRPr="009C4164">
        <w:rPr>
          <w:sz w:val="20"/>
          <w:szCs w:val="20"/>
          <w:lang w:val="ru-RU"/>
        </w:rPr>
        <w:t xml:space="preserve">про те, що чоловікам призначають суворіші покарання за злочини у сфері обігу наркотиків, ніж </w:t>
      </w:r>
      <w:proofErr w:type="gramStart"/>
      <w:r w:rsidRPr="009C4164">
        <w:rPr>
          <w:sz w:val="20"/>
          <w:szCs w:val="20"/>
          <w:lang w:val="ru-RU"/>
        </w:rPr>
        <w:t>ж</w:t>
      </w:r>
      <w:proofErr w:type="gramEnd"/>
      <w:r w:rsidRPr="009C4164">
        <w:rPr>
          <w:sz w:val="20"/>
          <w:szCs w:val="20"/>
          <w:lang w:val="ru-RU"/>
        </w:rPr>
        <w:t xml:space="preserve">інкам формально підтвердилась. Однак </w:t>
      </w:r>
      <w:proofErr w:type="gramStart"/>
      <w:r w:rsidRPr="009C4164">
        <w:rPr>
          <w:sz w:val="20"/>
          <w:szCs w:val="20"/>
          <w:lang w:val="ru-RU"/>
        </w:rPr>
        <w:t>р</w:t>
      </w:r>
      <w:proofErr w:type="gramEnd"/>
      <w:r w:rsidRPr="009C4164">
        <w:rPr>
          <w:sz w:val="20"/>
          <w:szCs w:val="20"/>
          <w:lang w:val="ru-RU"/>
        </w:rPr>
        <w:t xml:space="preserve">ізниця в середньому значенні </w:t>
      </w:r>
      <w:r w:rsidRPr="009C4164">
        <w:rPr>
          <w:i/>
          <w:sz w:val="20"/>
          <w:szCs w:val="20"/>
          <w:lang w:val="ru-RU"/>
        </w:rPr>
        <w:t>(Таблиця 2)</w:t>
      </w:r>
      <w:r w:rsidRPr="009C4164">
        <w:rPr>
          <w:sz w:val="20"/>
          <w:szCs w:val="20"/>
          <w:lang w:val="ru-RU"/>
        </w:rPr>
        <w:t xml:space="preserve"> покарання настільки не значна, що нею можна знехтувати. </w:t>
      </w:r>
      <w:proofErr w:type="gramStart"/>
      <w:r w:rsidRPr="009C4164">
        <w:rPr>
          <w:sz w:val="20"/>
          <w:szCs w:val="20"/>
          <w:lang w:val="ru-RU"/>
        </w:rPr>
        <w:t>Кр</w:t>
      </w:r>
      <w:proofErr w:type="gramEnd"/>
      <w:r w:rsidRPr="009C4164">
        <w:rPr>
          <w:sz w:val="20"/>
          <w:szCs w:val="20"/>
          <w:lang w:val="ru-RU"/>
        </w:rPr>
        <w:t>ім того, з аналізу частот</w:t>
      </w:r>
      <w:r w:rsidRPr="009C4164">
        <w:rPr>
          <w:sz w:val="20"/>
          <w:szCs w:val="20"/>
          <w:lang w:val="ru-RU"/>
        </w:rPr>
        <w:t xml:space="preserve">и призначення різних видів покарання </w:t>
      </w:r>
      <w:r w:rsidRPr="009C4164">
        <w:rPr>
          <w:i/>
          <w:sz w:val="20"/>
          <w:szCs w:val="20"/>
          <w:lang w:val="ru-RU"/>
        </w:rPr>
        <w:t>(Графік 2)</w:t>
      </w:r>
      <w:r w:rsidRPr="009C4164">
        <w:rPr>
          <w:sz w:val="20"/>
          <w:szCs w:val="20"/>
          <w:lang w:val="ru-RU"/>
        </w:rPr>
        <w:t xml:space="preserve"> варто зробити висновок, що, навпаки, шанси жінки отримати суворіше покарання вищі. </w:t>
      </w:r>
    </w:p>
    <w:p w:rsidR="00BA7A83" w:rsidRPr="009C4164" w:rsidRDefault="00BA7A83">
      <w:pPr>
        <w:jc w:val="both"/>
        <w:rPr>
          <w:sz w:val="20"/>
          <w:szCs w:val="20"/>
          <w:lang w:val="ru-RU"/>
        </w:rPr>
      </w:pPr>
    </w:p>
    <w:p w:rsidR="00BA7A83" w:rsidRPr="009C4164" w:rsidRDefault="009C4164">
      <w:pPr>
        <w:jc w:val="both"/>
        <w:rPr>
          <w:b/>
          <w:sz w:val="20"/>
          <w:szCs w:val="20"/>
          <w:lang w:val="ru-RU"/>
        </w:rPr>
      </w:pPr>
      <w:r w:rsidRPr="009C4164">
        <w:rPr>
          <w:b/>
          <w:sz w:val="20"/>
          <w:szCs w:val="20"/>
          <w:lang w:val="ru-RU"/>
        </w:rPr>
        <w:t xml:space="preserve">Суворість покарання </w:t>
      </w:r>
      <w:r>
        <w:rPr>
          <w:b/>
          <w:sz w:val="20"/>
          <w:szCs w:val="20"/>
        </w:rPr>
        <w:t>vs</w:t>
      </w:r>
      <w:r w:rsidRPr="009C4164">
        <w:rPr>
          <w:b/>
          <w:sz w:val="20"/>
          <w:szCs w:val="20"/>
          <w:lang w:val="ru-RU"/>
        </w:rPr>
        <w:t xml:space="preserve"> тип покарання</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Суворість покарання з одного боку визначається типом покарання. Загальна частина Крим</w:t>
      </w:r>
      <w:r w:rsidRPr="009C4164">
        <w:rPr>
          <w:sz w:val="20"/>
          <w:szCs w:val="20"/>
          <w:lang w:val="ru-RU"/>
        </w:rPr>
        <w:t>інального Кодексу (стаття 51) встановлює певну градацію видів покарань, де штраф є найменшим за суворістю покаранням, а позбавлення волі найбільш суворим. Між ними розміщуються громадські роботи, виправні роботи, арешт та обмеження волі.</w:t>
      </w:r>
    </w:p>
    <w:p w:rsidR="00BA7A83" w:rsidRPr="009C4164" w:rsidRDefault="00BA7A83">
      <w:pPr>
        <w:jc w:val="both"/>
        <w:rPr>
          <w:sz w:val="20"/>
          <w:szCs w:val="20"/>
          <w:lang w:val="ru-RU"/>
        </w:rPr>
      </w:pPr>
    </w:p>
    <w:p w:rsidR="009C4164" w:rsidRDefault="009C4164">
      <w:pPr>
        <w:jc w:val="both"/>
        <w:rPr>
          <w:i/>
          <w:sz w:val="20"/>
          <w:szCs w:val="20"/>
          <w:lang w:val="ru-RU"/>
        </w:rPr>
      </w:pPr>
    </w:p>
    <w:p w:rsidR="009C4164" w:rsidRDefault="009C4164">
      <w:pPr>
        <w:jc w:val="both"/>
        <w:rPr>
          <w:i/>
          <w:sz w:val="20"/>
          <w:szCs w:val="20"/>
          <w:lang w:val="ru-RU"/>
        </w:rPr>
      </w:pPr>
    </w:p>
    <w:p w:rsidR="009C4164" w:rsidRDefault="009C4164">
      <w:pPr>
        <w:jc w:val="both"/>
        <w:rPr>
          <w:i/>
          <w:sz w:val="20"/>
          <w:szCs w:val="20"/>
          <w:lang w:val="ru-RU"/>
        </w:rPr>
      </w:pPr>
    </w:p>
    <w:p w:rsidR="00BA7A83" w:rsidRDefault="009C4164">
      <w:pPr>
        <w:jc w:val="both"/>
        <w:rPr>
          <w:i/>
          <w:sz w:val="20"/>
          <w:szCs w:val="20"/>
          <w:lang w:val="ru-RU"/>
        </w:rPr>
      </w:pPr>
      <w:r w:rsidRPr="009C4164">
        <w:rPr>
          <w:i/>
          <w:sz w:val="20"/>
          <w:szCs w:val="20"/>
          <w:lang w:val="ru-RU"/>
        </w:rPr>
        <w:lastRenderedPageBreak/>
        <w:t>Графік 1. Кількіс</w:t>
      </w:r>
      <w:r w:rsidRPr="009C4164">
        <w:rPr>
          <w:i/>
          <w:sz w:val="20"/>
          <w:szCs w:val="20"/>
          <w:lang w:val="ru-RU"/>
        </w:rPr>
        <w:t xml:space="preserve">ть вироків, в розрізі призначеного </w:t>
      </w:r>
      <w:r w:rsidRPr="009C4164">
        <w:rPr>
          <w:i/>
          <w:sz w:val="20"/>
          <w:szCs w:val="20"/>
          <w:lang w:val="ru-RU"/>
        </w:rPr>
        <w:t>п</w:t>
      </w:r>
      <w:r w:rsidRPr="009C4164">
        <w:rPr>
          <w:i/>
          <w:sz w:val="20"/>
          <w:szCs w:val="20"/>
          <w:lang w:val="ru-RU"/>
        </w:rPr>
        <w:t>окарання</w:t>
      </w:r>
    </w:p>
    <w:p w:rsidR="009C4164" w:rsidRPr="009C4164" w:rsidRDefault="009C4164">
      <w:pPr>
        <w:jc w:val="both"/>
        <w:rPr>
          <w:i/>
          <w:sz w:val="20"/>
          <w:szCs w:val="20"/>
          <w:lang w:val="ru-RU"/>
        </w:rPr>
      </w:pPr>
    </w:p>
    <w:p w:rsidR="00BA7A83" w:rsidRPr="009C4164" w:rsidRDefault="009C4164">
      <w:pPr>
        <w:jc w:val="both"/>
        <w:rPr>
          <w:sz w:val="20"/>
          <w:szCs w:val="20"/>
          <w:lang w:val="ru-RU"/>
        </w:rPr>
      </w:pPr>
      <w:r>
        <w:rPr>
          <w:noProof/>
          <w:lang w:val="uk-UA"/>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2652713" cy="2652713"/>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652713" cy="2652713"/>
                    </a:xfrm>
                    <a:prstGeom prst="rect">
                      <a:avLst/>
                    </a:prstGeom>
                    <a:ln/>
                  </pic:spPr>
                </pic:pic>
              </a:graphicData>
            </a:graphic>
          </wp:anchor>
        </w:drawing>
      </w:r>
      <w:r>
        <w:rPr>
          <w:noProof/>
          <w:lang w:val="uk-UA"/>
        </w:rPr>
        <w:drawing>
          <wp:anchor distT="114300" distB="114300" distL="114300" distR="114300" simplePos="0" relativeHeight="251659264" behindDoc="0" locked="0" layoutInCell="1" hidden="0" allowOverlap="1">
            <wp:simplePos x="0" y="0"/>
            <wp:positionH relativeFrom="column">
              <wp:posOffset>3057525</wp:posOffset>
            </wp:positionH>
            <wp:positionV relativeFrom="paragraph">
              <wp:posOffset>176213</wp:posOffset>
            </wp:positionV>
            <wp:extent cx="2544114" cy="253525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44114" cy="2535250"/>
                    </a:xfrm>
                    <a:prstGeom prst="rect">
                      <a:avLst/>
                    </a:prstGeom>
                    <a:ln/>
                  </pic:spPr>
                </pic:pic>
              </a:graphicData>
            </a:graphic>
          </wp:anchor>
        </w:drawing>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На </w:t>
      </w:r>
      <w:r w:rsidRPr="009C4164">
        <w:rPr>
          <w:i/>
          <w:sz w:val="20"/>
          <w:szCs w:val="20"/>
          <w:lang w:val="ru-RU"/>
        </w:rPr>
        <w:t>Графіку 1</w:t>
      </w:r>
      <w:r w:rsidRPr="009C4164">
        <w:rPr>
          <w:sz w:val="20"/>
          <w:szCs w:val="20"/>
          <w:lang w:val="ru-RU"/>
        </w:rPr>
        <w:t xml:space="preserve"> можна знайти інформацію щодо загальної кількості призначених покарань в розрізі виді</w:t>
      </w:r>
      <w:proofErr w:type="gramStart"/>
      <w:r w:rsidRPr="009C4164">
        <w:rPr>
          <w:sz w:val="20"/>
          <w:szCs w:val="20"/>
          <w:lang w:val="ru-RU"/>
        </w:rPr>
        <w:t>в</w:t>
      </w:r>
      <w:proofErr w:type="gramEnd"/>
      <w:r w:rsidRPr="009C4164">
        <w:rPr>
          <w:sz w:val="20"/>
          <w:szCs w:val="20"/>
          <w:lang w:val="ru-RU"/>
        </w:rPr>
        <w:t xml:space="preserve">. На </w:t>
      </w:r>
      <w:r w:rsidRPr="009C4164">
        <w:rPr>
          <w:i/>
          <w:sz w:val="20"/>
          <w:szCs w:val="20"/>
          <w:lang w:val="ru-RU"/>
        </w:rPr>
        <w:t xml:space="preserve">Графіку 2 </w:t>
      </w:r>
      <w:r w:rsidRPr="009C4164">
        <w:rPr>
          <w:sz w:val="20"/>
          <w:szCs w:val="20"/>
          <w:lang w:val="ru-RU"/>
        </w:rPr>
        <w:t xml:space="preserve">продемонстрований розподіл покарань в розрізі статті обвинувачуваних. </w:t>
      </w:r>
      <w:proofErr w:type="gramStart"/>
      <w:r>
        <w:rPr>
          <w:sz w:val="20"/>
          <w:szCs w:val="20"/>
        </w:rPr>
        <w:t>Найбільш інтригуючим є той факт, що судді схильні призначати покарання у вигляді позбавлення волі жінкам на 9% частіше ніж чоловікам.</w:t>
      </w:r>
      <w:proofErr w:type="gramEnd"/>
      <w:r>
        <w:rPr>
          <w:sz w:val="20"/>
          <w:szCs w:val="20"/>
        </w:rPr>
        <w:t xml:space="preserve"> </w:t>
      </w:r>
      <w:r w:rsidRPr="009C4164">
        <w:rPr>
          <w:sz w:val="20"/>
          <w:szCs w:val="20"/>
          <w:lang w:val="ru-RU"/>
        </w:rPr>
        <w:t>Так, в 25% (107 вироків) жінкам призначили покарання</w:t>
      </w:r>
      <w:r w:rsidRPr="009C4164">
        <w:rPr>
          <w:sz w:val="20"/>
          <w:szCs w:val="20"/>
          <w:lang w:val="ru-RU"/>
        </w:rPr>
        <w:t xml:space="preserve"> у вигляді позбавлення волі, а чоловікам лише в 16% (817 вироків). Ця </w:t>
      </w:r>
      <w:proofErr w:type="gramStart"/>
      <w:r w:rsidRPr="009C4164">
        <w:rPr>
          <w:sz w:val="20"/>
          <w:szCs w:val="20"/>
          <w:lang w:val="ru-RU"/>
        </w:rPr>
        <w:t>р</w:t>
      </w:r>
      <w:proofErr w:type="gramEnd"/>
      <w:r w:rsidRPr="009C4164">
        <w:rPr>
          <w:sz w:val="20"/>
          <w:szCs w:val="20"/>
          <w:lang w:val="ru-RU"/>
        </w:rPr>
        <w:t>ізниця в 9% перенеслася на рівень штрафів: жінки отримують покарання у вигляді штрафів у 67% випадків, проти  76% для чоловіків.</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Такий стан здебільшого спростовує теоретичну базу, яка </w:t>
      </w:r>
      <w:r w:rsidRPr="009C4164">
        <w:rPr>
          <w:sz w:val="20"/>
          <w:szCs w:val="20"/>
          <w:lang w:val="ru-RU"/>
        </w:rPr>
        <w:t xml:space="preserve">була викладена на початку цього </w:t>
      </w:r>
      <w:proofErr w:type="gramStart"/>
      <w:r w:rsidRPr="009C4164">
        <w:rPr>
          <w:sz w:val="20"/>
          <w:szCs w:val="20"/>
          <w:lang w:val="ru-RU"/>
        </w:rPr>
        <w:t>досл</w:t>
      </w:r>
      <w:proofErr w:type="gramEnd"/>
      <w:r w:rsidRPr="009C4164">
        <w:rPr>
          <w:sz w:val="20"/>
          <w:szCs w:val="20"/>
          <w:lang w:val="ru-RU"/>
        </w:rPr>
        <w:t xml:space="preserve">ідження і ще раз підтверджує необхідність роботи з українськими даними, розміщуючи західні теорії в локальний контекст.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Втім наведених даних недостатньо для того, щоб стверджувати, що покарання </w:t>
      </w:r>
      <w:proofErr w:type="gramStart"/>
      <w:r w:rsidRPr="009C4164">
        <w:rPr>
          <w:sz w:val="20"/>
          <w:szCs w:val="20"/>
          <w:lang w:val="ru-RU"/>
        </w:rPr>
        <w:t>для</w:t>
      </w:r>
      <w:proofErr w:type="gramEnd"/>
      <w:r w:rsidRPr="009C4164">
        <w:rPr>
          <w:sz w:val="20"/>
          <w:szCs w:val="20"/>
          <w:lang w:val="ru-RU"/>
        </w:rPr>
        <w:t xml:space="preserve"> жінок суворіше. Варт</w:t>
      </w:r>
      <w:r w:rsidRPr="009C4164">
        <w:rPr>
          <w:sz w:val="20"/>
          <w:szCs w:val="20"/>
          <w:lang w:val="ru-RU"/>
        </w:rPr>
        <w:t>о згадати, що призначення покарання у вигляді позбавлення або обмеження волі часто кореспондує з застосування ст. 75 Кримінального Кодексу, яка встановлює процедуру звільнення від відбування покарання з випробуванням. Тобто важливо також розуміти, який шан</w:t>
      </w:r>
      <w:r w:rsidRPr="009C4164">
        <w:rPr>
          <w:sz w:val="20"/>
          <w:szCs w:val="20"/>
          <w:lang w:val="ru-RU"/>
        </w:rPr>
        <w:t xml:space="preserve">с було отримати реальний строк за цим злочином і чи є </w:t>
      </w:r>
      <w:proofErr w:type="gramStart"/>
      <w:r w:rsidRPr="009C4164">
        <w:rPr>
          <w:sz w:val="20"/>
          <w:szCs w:val="20"/>
          <w:lang w:val="ru-RU"/>
        </w:rPr>
        <w:t>р</w:t>
      </w:r>
      <w:proofErr w:type="gramEnd"/>
      <w:r w:rsidRPr="009C4164">
        <w:rPr>
          <w:sz w:val="20"/>
          <w:szCs w:val="20"/>
          <w:lang w:val="ru-RU"/>
        </w:rPr>
        <w:t xml:space="preserve">ізниця щодо застосування ст. 75 щодо жінок та чоловіків. Лише 63 особи в 2019 році отримали реальний строк, з них лише 4 жінок. </w:t>
      </w:r>
      <w:proofErr w:type="gramStart"/>
      <w:r w:rsidRPr="009C4164">
        <w:rPr>
          <w:sz w:val="20"/>
          <w:szCs w:val="20"/>
          <w:lang w:val="ru-RU"/>
        </w:rPr>
        <w:t>У</w:t>
      </w:r>
      <w:proofErr w:type="gramEnd"/>
      <w:r w:rsidRPr="009C4164">
        <w:rPr>
          <w:sz w:val="20"/>
          <w:szCs w:val="20"/>
          <w:lang w:val="ru-RU"/>
        </w:rPr>
        <w:t xml:space="preserve"> відносних показниках це має наступний вигляд: серед жінок, яким було пр</w:t>
      </w:r>
      <w:r w:rsidRPr="009C4164">
        <w:rPr>
          <w:sz w:val="20"/>
          <w:szCs w:val="20"/>
          <w:lang w:val="ru-RU"/>
        </w:rPr>
        <w:t>изначено покарання у вигляді позбавлення або обмеження волі, лише 3% були фактично ув’язнені, серед чоловіків - 5%</w:t>
      </w:r>
    </w:p>
    <w:p w:rsidR="00BA7A83" w:rsidRPr="009C4164" w:rsidRDefault="00BA7A83">
      <w:pPr>
        <w:jc w:val="both"/>
        <w:rPr>
          <w:sz w:val="20"/>
          <w:szCs w:val="20"/>
          <w:lang w:val="ru-RU"/>
        </w:rPr>
      </w:pPr>
    </w:p>
    <w:p w:rsidR="00BA7A83" w:rsidRDefault="009C4164">
      <w:pPr>
        <w:jc w:val="both"/>
        <w:rPr>
          <w:sz w:val="20"/>
          <w:szCs w:val="20"/>
        </w:rPr>
      </w:pPr>
      <w:proofErr w:type="gramStart"/>
      <w:r>
        <w:rPr>
          <w:sz w:val="20"/>
          <w:szCs w:val="20"/>
        </w:rPr>
        <w:t>Такий стан здебільшого спростовує теоретичну базу, яка була викладена в описі літератури цього дослідження і ще раз підтверджує необхідність</w:t>
      </w:r>
      <w:r>
        <w:rPr>
          <w:sz w:val="20"/>
          <w:szCs w:val="20"/>
        </w:rPr>
        <w:t xml:space="preserve"> працювати з українськими даними, поміщаючи західні теорії в локальний контекст.</w:t>
      </w:r>
      <w:proofErr w:type="gramEnd"/>
      <w:r>
        <w:rPr>
          <w:sz w:val="20"/>
          <w:szCs w:val="20"/>
        </w:rPr>
        <w:t xml:space="preserve"> </w:t>
      </w:r>
    </w:p>
    <w:p w:rsidR="00BA7A83" w:rsidRDefault="00BA7A83">
      <w:pPr>
        <w:jc w:val="both"/>
        <w:rPr>
          <w:sz w:val="20"/>
          <w:szCs w:val="20"/>
        </w:rPr>
      </w:pPr>
    </w:p>
    <w:p w:rsidR="00BA7A83" w:rsidRDefault="009C4164">
      <w:pPr>
        <w:jc w:val="both"/>
        <w:rPr>
          <w:sz w:val="20"/>
          <w:szCs w:val="20"/>
          <w:highlight w:val="yellow"/>
        </w:rPr>
      </w:pPr>
      <w:proofErr w:type="gramStart"/>
      <w:r>
        <w:rPr>
          <w:sz w:val="20"/>
          <w:szCs w:val="20"/>
        </w:rPr>
        <w:t>Можна зробити припущення, що така логіка покарання щодо жінок пов’язана з репродуктивним здоров’ям жінок та вплив на це здоров’я наркотичних засобів, споживачами яких зазвич</w:t>
      </w:r>
      <w:r>
        <w:rPr>
          <w:sz w:val="20"/>
          <w:szCs w:val="20"/>
        </w:rPr>
        <w:t>ай є обвинувачувані за цим порушенням.</w:t>
      </w:r>
      <w:proofErr w:type="gramEnd"/>
      <w:r>
        <w:rPr>
          <w:sz w:val="20"/>
          <w:szCs w:val="20"/>
        </w:rPr>
        <w:t xml:space="preserve"> </w:t>
      </w:r>
      <w:r w:rsidRPr="009C4164">
        <w:rPr>
          <w:sz w:val="20"/>
          <w:szCs w:val="20"/>
          <w:lang w:val="ru-RU"/>
        </w:rPr>
        <w:t xml:space="preserve">Покарання у вигляді обмеження та позбавлення волі з </w:t>
      </w:r>
      <w:r w:rsidRPr="009C4164">
        <w:rPr>
          <w:sz w:val="20"/>
          <w:szCs w:val="20"/>
          <w:lang w:val="ru-RU"/>
        </w:rPr>
        <w:lastRenderedPageBreak/>
        <w:t xml:space="preserve">застосуванням ст. 75 Кримінального Кодексу по суті передбачає певний контроль над особою з боку органів пробації. Можливо таким чином суд намагався застерегти жінку </w:t>
      </w:r>
      <w:r w:rsidRPr="009C4164">
        <w:rPr>
          <w:sz w:val="20"/>
          <w:szCs w:val="20"/>
          <w:lang w:val="ru-RU"/>
        </w:rPr>
        <w:t xml:space="preserve">від вживання наркотиків. </w:t>
      </w:r>
      <w:r>
        <w:rPr>
          <w:sz w:val="20"/>
          <w:szCs w:val="20"/>
        </w:rPr>
        <w:t xml:space="preserve">Однак це твердження потребує додаткових </w:t>
      </w:r>
      <w:proofErr w:type="gramStart"/>
      <w:r>
        <w:rPr>
          <w:sz w:val="20"/>
          <w:szCs w:val="20"/>
        </w:rPr>
        <w:t>досл</w:t>
      </w:r>
      <w:proofErr w:type="gramEnd"/>
      <w:r>
        <w:rPr>
          <w:sz w:val="20"/>
          <w:szCs w:val="20"/>
        </w:rPr>
        <w:t xml:space="preserve">іджень. </w:t>
      </w:r>
    </w:p>
    <w:p w:rsidR="00BA7A83" w:rsidRDefault="00BA7A83">
      <w:pPr>
        <w:jc w:val="both"/>
        <w:rPr>
          <w:sz w:val="20"/>
          <w:szCs w:val="20"/>
        </w:rPr>
      </w:pPr>
    </w:p>
    <w:p w:rsidR="00BA7A83" w:rsidRPr="009C4164" w:rsidRDefault="009C4164">
      <w:pPr>
        <w:jc w:val="both"/>
        <w:rPr>
          <w:sz w:val="20"/>
          <w:szCs w:val="20"/>
          <w:lang w:val="ru-RU"/>
        </w:rPr>
      </w:pPr>
      <w:r w:rsidRPr="009C4164">
        <w:rPr>
          <w:i/>
          <w:sz w:val="20"/>
          <w:szCs w:val="20"/>
          <w:lang w:val="ru-RU"/>
        </w:rPr>
        <w:t>Графік 2. Розподіл видів призначених покарань у розрізі статті (</w:t>
      </w:r>
      <w:proofErr w:type="gramStart"/>
      <w:r w:rsidRPr="009C4164">
        <w:rPr>
          <w:i/>
          <w:sz w:val="20"/>
          <w:szCs w:val="20"/>
          <w:lang w:val="ru-RU"/>
        </w:rPr>
        <w:t>у</w:t>
      </w:r>
      <w:proofErr w:type="gramEnd"/>
      <w:r w:rsidRPr="009C4164">
        <w:rPr>
          <w:i/>
          <w:sz w:val="20"/>
          <w:szCs w:val="20"/>
          <w:lang w:val="ru-RU"/>
        </w:rPr>
        <w:t xml:space="preserve"> відсотках)</w:t>
      </w:r>
    </w:p>
    <w:p w:rsidR="00BA7A83" w:rsidRPr="009C4164" w:rsidRDefault="009C4164">
      <w:pPr>
        <w:jc w:val="both"/>
        <w:rPr>
          <w:sz w:val="20"/>
          <w:szCs w:val="20"/>
          <w:lang w:val="ru-RU"/>
        </w:rPr>
      </w:pPr>
      <w:r>
        <w:rPr>
          <w:noProof/>
          <w:lang w:val="uk-UA"/>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181403</wp:posOffset>
            </wp:positionV>
            <wp:extent cx="4046444" cy="4036302"/>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46444" cy="4036302"/>
                    </a:xfrm>
                    <a:prstGeom prst="rect">
                      <a:avLst/>
                    </a:prstGeom>
                    <a:ln/>
                  </pic:spPr>
                </pic:pic>
              </a:graphicData>
            </a:graphic>
          </wp:anchor>
        </w:drawing>
      </w:r>
      <w:r w:rsidRPr="009C4164">
        <w:rPr>
          <w:sz w:val="20"/>
          <w:szCs w:val="20"/>
          <w:lang w:val="ru-RU"/>
        </w:rPr>
        <w:t xml:space="preserve">Для інтерпретації результатів питання про розподіл видів речовин серед чоловіків та жінок є надзвичайно актуальним: відповідно до українських та міжнародних </w:t>
      </w:r>
      <w:proofErr w:type="gramStart"/>
      <w:r w:rsidRPr="009C4164">
        <w:rPr>
          <w:sz w:val="20"/>
          <w:szCs w:val="20"/>
          <w:lang w:val="ru-RU"/>
        </w:rPr>
        <w:t>досл</w:t>
      </w:r>
      <w:proofErr w:type="gramEnd"/>
      <w:r w:rsidRPr="009C4164">
        <w:rPr>
          <w:sz w:val="20"/>
          <w:szCs w:val="20"/>
          <w:lang w:val="ru-RU"/>
        </w:rPr>
        <w:t>іджень, жінки та чоловіки схильні вживати різні наркотичні речовини та з різною метою. Це також</w:t>
      </w:r>
      <w:r w:rsidRPr="009C4164">
        <w:rPr>
          <w:sz w:val="20"/>
          <w:szCs w:val="20"/>
          <w:lang w:val="ru-RU"/>
        </w:rPr>
        <w:t xml:space="preserve"> може впливати на тяжкість покарання: транквілізатори та седативні препарати, вживання яких є більш поширеним серед дівчат, ніж серед хлопців, є рецептурними препаратами, обіг яких контролюється іншими статтями </w:t>
      </w:r>
      <w:proofErr w:type="gramStart"/>
      <w:r w:rsidRPr="009C4164">
        <w:rPr>
          <w:sz w:val="20"/>
          <w:szCs w:val="20"/>
          <w:lang w:val="ru-RU"/>
        </w:rPr>
        <w:t>адм</w:t>
      </w:r>
      <w:proofErr w:type="gramEnd"/>
      <w:r w:rsidRPr="009C4164">
        <w:rPr>
          <w:sz w:val="20"/>
          <w:szCs w:val="20"/>
          <w:lang w:val="ru-RU"/>
        </w:rPr>
        <w:t>іністративного кодексу. Покарання за поруш</w:t>
      </w:r>
      <w:r w:rsidRPr="009C4164">
        <w:rPr>
          <w:sz w:val="20"/>
          <w:szCs w:val="20"/>
          <w:lang w:val="ru-RU"/>
        </w:rPr>
        <w:t xml:space="preserve">ення норм розповсюдження таких речовин є менш суворим, </w:t>
      </w:r>
      <w:proofErr w:type="gramStart"/>
      <w:r w:rsidRPr="009C4164">
        <w:rPr>
          <w:sz w:val="20"/>
          <w:szCs w:val="20"/>
          <w:lang w:val="ru-RU"/>
        </w:rPr>
        <w:t>ніж</w:t>
      </w:r>
      <w:proofErr w:type="gramEnd"/>
      <w:r w:rsidRPr="009C4164">
        <w:rPr>
          <w:sz w:val="20"/>
          <w:szCs w:val="20"/>
          <w:lang w:val="ru-RU"/>
        </w:rPr>
        <w:t xml:space="preserve"> це передбачено для повністю заборонених психоактивних речовин. </w:t>
      </w:r>
    </w:p>
    <w:p w:rsidR="00BA7A83" w:rsidRPr="009C4164" w:rsidRDefault="00BA7A83">
      <w:pPr>
        <w:jc w:val="both"/>
        <w:rPr>
          <w:sz w:val="20"/>
          <w:szCs w:val="20"/>
          <w:highlight w:val="yellow"/>
          <w:lang w:val="ru-RU"/>
        </w:rPr>
      </w:pPr>
    </w:p>
    <w:p w:rsidR="00BA7A83" w:rsidRDefault="009C4164">
      <w:pPr>
        <w:jc w:val="both"/>
        <w:rPr>
          <w:sz w:val="20"/>
          <w:szCs w:val="20"/>
          <w:highlight w:val="yellow"/>
        </w:rPr>
      </w:pPr>
      <w:r w:rsidRPr="009C4164">
        <w:rPr>
          <w:sz w:val="20"/>
          <w:szCs w:val="20"/>
          <w:lang w:val="ru-RU"/>
        </w:rPr>
        <w:t xml:space="preserve">Треба наголосити на тому, що штраф є найбільш універсальною санкцією і для жінок, і для чоловіків. </w:t>
      </w:r>
      <w:r>
        <w:rPr>
          <w:sz w:val="20"/>
          <w:szCs w:val="20"/>
        </w:rPr>
        <w:t>Цей феномен буде проаналізовано т</w:t>
      </w:r>
      <w:r>
        <w:rPr>
          <w:sz w:val="20"/>
          <w:szCs w:val="20"/>
        </w:rPr>
        <w:t xml:space="preserve">рохи </w:t>
      </w:r>
      <w:proofErr w:type="gramStart"/>
      <w:r>
        <w:rPr>
          <w:sz w:val="20"/>
          <w:szCs w:val="20"/>
        </w:rPr>
        <w:t>п</w:t>
      </w:r>
      <w:proofErr w:type="gramEnd"/>
      <w:r>
        <w:rPr>
          <w:sz w:val="20"/>
          <w:szCs w:val="20"/>
        </w:rPr>
        <w:t xml:space="preserve">ізніше.  </w:t>
      </w:r>
    </w:p>
    <w:p w:rsidR="00BA7A83" w:rsidRDefault="00BA7A83">
      <w:pPr>
        <w:jc w:val="both"/>
        <w:rPr>
          <w:sz w:val="20"/>
          <w:szCs w:val="20"/>
        </w:rPr>
      </w:pPr>
    </w:p>
    <w:p w:rsidR="00BA7A83" w:rsidRPr="009C4164" w:rsidRDefault="009C4164">
      <w:pPr>
        <w:jc w:val="both"/>
        <w:rPr>
          <w:sz w:val="20"/>
          <w:szCs w:val="20"/>
          <w:lang w:val="ru-RU"/>
        </w:rPr>
      </w:pPr>
      <w:proofErr w:type="gramStart"/>
      <w:r w:rsidRPr="009C4164">
        <w:rPr>
          <w:sz w:val="20"/>
          <w:szCs w:val="20"/>
          <w:lang w:val="ru-RU"/>
        </w:rPr>
        <w:t>Кр</w:t>
      </w:r>
      <w:proofErr w:type="gramEnd"/>
      <w:r w:rsidRPr="009C4164">
        <w:rPr>
          <w:sz w:val="20"/>
          <w:szCs w:val="20"/>
          <w:lang w:val="ru-RU"/>
        </w:rPr>
        <w:t>ім того варто звернути увагу на вироки, в яких застосовується такий вид покарання як громадські роботи. Санкція статті не встановлює такий вид покарання, у зв’язку з чим виникають питання щодо мотивації призначення покарання та його зако</w:t>
      </w:r>
      <w:r w:rsidRPr="009C4164">
        <w:rPr>
          <w:sz w:val="20"/>
          <w:szCs w:val="20"/>
          <w:lang w:val="ru-RU"/>
        </w:rPr>
        <w:t xml:space="preserve">нності. </w:t>
      </w:r>
    </w:p>
    <w:p w:rsidR="00BA7A83" w:rsidRPr="009C4164" w:rsidRDefault="00BA7A83">
      <w:pPr>
        <w:jc w:val="both"/>
        <w:rPr>
          <w:sz w:val="20"/>
          <w:szCs w:val="20"/>
          <w:lang w:val="ru-RU"/>
        </w:rPr>
      </w:pPr>
    </w:p>
    <w:p w:rsidR="009C4164" w:rsidRDefault="009C4164">
      <w:pPr>
        <w:jc w:val="both"/>
        <w:rPr>
          <w:b/>
          <w:sz w:val="20"/>
          <w:szCs w:val="20"/>
          <w:lang w:val="ru-RU"/>
        </w:rPr>
      </w:pPr>
    </w:p>
    <w:p w:rsidR="009C4164" w:rsidRDefault="009C4164">
      <w:pPr>
        <w:jc w:val="both"/>
        <w:rPr>
          <w:b/>
          <w:sz w:val="20"/>
          <w:szCs w:val="20"/>
          <w:lang w:val="ru-RU"/>
        </w:rPr>
      </w:pPr>
    </w:p>
    <w:p w:rsidR="009C4164" w:rsidRDefault="009C4164">
      <w:pPr>
        <w:jc w:val="both"/>
        <w:rPr>
          <w:b/>
          <w:sz w:val="20"/>
          <w:szCs w:val="20"/>
          <w:lang w:val="ru-RU"/>
        </w:rPr>
      </w:pPr>
    </w:p>
    <w:p w:rsidR="00BA7A83" w:rsidRPr="009C4164" w:rsidRDefault="009C4164">
      <w:pPr>
        <w:jc w:val="both"/>
        <w:rPr>
          <w:b/>
          <w:sz w:val="20"/>
          <w:szCs w:val="20"/>
          <w:lang w:val="ru-RU"/>
        </w:rPr>
      </w:pPr>
      <w:r w:rsidRPr="009C4164">
        <w:rPr>
          <w:b/>
          <w:sz w:val="20"/>
          <w:szCs w:val="20"/>
          <w:lang w:val="ru-RU"/>
        </w:rPr>
        <w:lastRenderedPageBreak/>
        <w:t>Середнє значення за окремими видами покарання</w:t>
      </w:r>
    </w:p>
    <w:p w:rsidR="009C4164" w:rsidRDefault="009C4164">
      <w:pPr>
        <w:jc w:val="both"/>
        <w:rPr>
          <w:sz w:val="20"/>
          <w:szCs w:val="20"/>
          <w:lang w:val="ru-RU"/>
        </w:rPr>
      </w:pPr>
    </w:p>
    <w:p w:rsidR="00BA7A83" w:rsidRPr="009C4164" w:rsidRDefault="009C4164">
      <w:pPr>
        <w:jc w:val="both"/>
        <w:rPr>
          <w:sz w:val="20"/>
          <w:szCs w:val="20"/>
          <w:lang w:val="ru-RU"/>
        </w:rPr>
      </w:pPr>
      <w:r w:rsidRPr="009C4164">
        <w:rPr>
          <w:sz w:val="20"/>
          <w:szCs w:val="20"/>
          <w:lang w:val="ru-RU"/>
        </w:rPr>
        <w:t>Призначене покарання може мати певний розмі</w:t>
      </w:r>
      <w:proofErr w:type="gramStart"/>
      <w:r w:rsidRPr="009C4164">
        <w:rPr>
          <w:sz w:val="20"/>
          <w:szCs w:val="20"/>
          <w:lang w:val="ru-RU"/>
        </w:rPr>
        <w:t>р</w:t>
      </w:r>
      <w:proofErr w:type="gramEnd"/>
      <w:r w:rsidRPr="009C4164">
        <w:rPr>
          <w:sz w:val="20"/>
          <w:szCs w:val="20"/>
          <w:lang w:val="ru-RU"/>
        </w:rPr>
        <w:t xml:space="preserve"> (для штрафу) або призначатися на певний строк. Це дає нам можливість розрахувати середнє значення для кожного виду примусових заході</w:t>
      </w:r>
      <w:proofErr w:type="gramStart"/>
      <w:r w:rsidRPr="009C4164">
        <w:rPr>
          <w:sz w:val="20"/>
          <w:szCs w:val="20"/>
          <w:lang w:val="ru-RU"/>
        </w:rPr>
        <w:t>в</w:t>
      </w:r>
      <w:proofErr w:type="gramEnd"/>
      <w:r w:rsidRPr="009C4164">
        <w:rPr>
          <w:sz w:val="20"/>
          <w:szCs w:val="20"/>
          <w:lang w:val="ru-RU"/>
        </w:rPr>
        <w:t>. Для визначення один</w:t>
      </w:r>
      <w:r w:rsidRPr="009C4164">
        <w:rPr>
          <w:sz w:val="20"/>
          <w:szCs w:val="20"/>
          <w:lang w:val="ru-RU"/>
        </w:rPr>
        <w:t xml:space="preserve">иці покарання, </w:t>
      </w:r>
      <w:proofErr w:type="gramStart"/>
      <w:r w:rsidRPr="009C4164">
        <w:rPr>
          <w:sz w:val="20"/>
          <w:szCs w:val="20"/>
          <w:lang w:val="ru-RU"/>
        </w:rPr>
        <w:t>як</w:t>
      </w:r>
      <w:proofErr w:type="gramEnd"/>
      <w:r w:rsidRPr="009C4164">
        <w:rPr>
          <w:sz w:val="20"/>
          <w:szCs w:val="20"/>
          <w:lang w:val="ru-RU"/>
        </w:rPr>
        <w:t xml:space="preserve">і призначаються на певний строк, ми використовували статтю </w:t>
      </w:r>
      <w:r>
        <w:rPr>
          <w:sz w:val="20"/>
          <w:szCs w:val="20"/>
        </w:rPr>
        <w:t xml:space="preserve">73 Кримінального Кодексу. </w:t>
      </w:r>
      <w:proofErr w:type="gramStart"/>
      <w:r w:rsidRPr="009C4164">
        <w:rPr>
          <w:sz w:val="20"/>
          <w:szCs w:val="20"/>
          <w:lang w:val="ru-RU"/>
        </w:rPr>
        <w:t>Для</w:t>
      </w:r>
      <w:proofErr w:type="gramEnd"/>
      <w:r w:rsidRPr="009C4164">
        <w:rPr>
          <w:sz w:val="20"/>
          <w:szCs w:val="20"/>
          <w:lang w:val="ru-RU"/>
        </w:rPr>
        <w:t xml:space="preserve"> штрафу використані неоподатковувані мінімуми доходів громадян. </w:t>
      </w:r>
    </w:p>
    <w:p w:rsidR="00BA7A83" w:rsidRPr="009C4164" w:rsidRDefault="00BA7A83">
      <w:pPr>
        <w:jc w:val="both"/>
        <w:rPr>
          <w:sz w:val="20"/>
          <w:szCs w:val="20"/>
          <w:lang w:val="ru-RU"/>
        </w:rPr>
      </w:pPr>
    </w:p>
    <w:p w:rsidR="00BA7A83" w:rsidRPr="009C4164" w:rsidRDefault="009C4164">
      <w:pPr>
        <w:jc w:val="both"/>
        <w:rPr>
          <w:i/>
          <w:sz w:val="20"/>
          <w:szCs w:val="20"/>
          <w:lang w:val="ru-RU"/>
        </w:rPr>
      </w:pPr>
      <w:r w:rsidRPr="009C4164">
        <w:rPr>
          <w:i/>
          <w:sz w:val="20"/>
          <w:szCs w:val="20"/>
          <w:lang w:val="ru-RU"/>
        </w:rPr>
        <w:t xml:space="preserve">Таблиця 1. Середнє за </w:t>
      </w:r>
      <w:proofErr w:type="gramStart"/>
      <w:r w:rsidRPr="009C4164">
        <w:rPr>
          <w:i/>
          <w:sz w:val="20"/>
          <w:szCs w:val="20"/>
          <w:lang w:val="ru-RU"/>
        </w:rPr>
        <w:t>р</w:t>
      </w:r>
      <w:proofErr w:type="gramEnd"/>
      <w:r w:rsidRPr="009C4164">
        <w:rPr>
          <w:i/>
          <w:sz w:val="20"/>
          <w:szCs w:val="20"/>
          <w:lang w:val="ru-RU"/>
        </w:rPr>
        <w:t>ізними видами покарання</w:t>
      </w:r>
    </w:p>
    <w:p w:rsidR="00BA7A83" w:rsidRPr="009C4164" w:rsidRDefault="00BA7A83">
      <w:pPr>
        <w:jc w:val="both"/>
        <w:rPr>
          <w:i/>
          <w:sz w:val="20"/>
          <w:szCs w:val="20"/>
          <w:lang w:val="ru-RU"/>
        </w:rPr>
      </w:pPr>
    </w:p>
    <w:tbl>
      <w:tblPr>
        <w:tblStyle w:val="a5"/>
        <w:tblW w:w="90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41"/>
        <w:gridCol w:w="1320"/>
        <w:gridCol w:w="852"/>
        <w:gridCol w:w="739"/>
        <w:gridCol w:w="1230"/>
        <w:gridCol w:w="1140"/>
        <w:gridCol w:w="1125"/>
        <w:gridCol w:w="270"/>
      </w:tblGrid>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b/>
                <w:sz w:val="20"/>
                <w:szCs w:val="20"/>
              </w:rPr>
              <w:t>type_punishment</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b/>
                <w:sz w:val="20"/>
                <w:szCs w:val="20"/>
              </w:rPr>
            </w:pPr>
            <w:proofErr w:type="gramStart"/>
            <w:r>
              <w:rPr>
                <w:b/>
                <w:sz w:val="20"/>
                <w:szCs w:val="20"/>
              </w:rPr>
              <w:t>од</w:t>
            </w:r>
            <w:proofErr w:type="gramEnd"/>
            <w:r>
              <w:rPr>
                <w:b/>
                <w:sz w:val="20"/>
                <w:szCs w:val="20"/>
              </w:rPr>
              <w:t>.</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b/>
                <w:sz w:val="20"/>
                <w:szCs w:val="20"/>
              </w:rPr>
              <w:t>min</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b/>
                <w:sz w:val="20"/>
                <w:szCs w:val="20"/>
              </w:rPr>
              <w:t>max</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b/>
                <w:sz w:val="20"/>
                <w:szCs w:val="20"/>
              </w:rPr>
              <w:t>mean</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b/>
                <w:sz w:val="20"/>
                <w:szCs w:val="20"/>
              </w:rPr>
            </w:pPr>
            <w:r>
              <w:rPr>
                <w:b/>
                <w:sz w:val="20"/>
                <w:szCs w:val="20"/>
              </w:rPr>
              <w:t>mean</w:t>
            </w:r>
            <w:r>
              <w:rPr>
                <w:b/>
                <w:sz w:val="20"/>
                <w:szCs w:val="20"/>
              </w:rPr>
              <w:t xml:space="preserve"> (F)</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b/>
                <w:sz w:val="20"/>
                <w:szCs w:val="20"/>
              </w:rPr>
            </w:pPr>
            <w:r>
              <w:rPr>
                <w:b/>
                <w:sz w:val="20"/>
                <w:szCs w:val="20"/>
              </w:rPr>
              <w:t>mean(M)</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90"/>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арешт</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місяці</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6</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2.9</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2.7</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3.0</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виправні роботи</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години</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2</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1.8</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None**</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1.8 </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громадські роботи</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роки</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60</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150</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99.7</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120.0</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i/>
                <w:sz w:val="20"/>
                <w:szCs w:val="20"/>
              </w:rPr>
            </w:pPr>
            <w:r>
              <w:rPr>
                <w:i/>
                <w:sz w:val="20"/>
                <w:szCs w:val="20"/>
              </w:rPr>
              <w:t xml:space="preserve">95.6 </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обмеження волі</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роки</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3</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1.3</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1.3</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1.3 </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позбавлення волі</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роки</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3</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1.4</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1.2 </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1.4 </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r w:rsidR="00BA7A83">
        <w:trPr>
          <w:trHeight w:val="375"/>
        </w:trPr>
        <w:tc>
          <w:tcPr>
            <w:tcW w:w="23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штраф</w:t>
            </w:r>
          </w:p>
        </w:tc>
        <w:tc>
          <w:tcPr>
            <w:tcW w:w="132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НМДГ*</w:t>
            </w:r>
          </w:p>
        </w:tc>
        <w:tc>
          <w:tcPr>
            <w:tcW w:w="852"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50</w:t>
            </w:r>
          </w:p>
        </w:tc>
        <w:tc>
          <w:tcPr>
            <w:tcW w:w="739"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100 </w:t>
            </w:r>
          </w:p>
        </w:tc>
        <w:tc>
          <w:tcPr>
            <w:tcW w:w="123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59.2</w:t>
            </w:r>
          </w:p>
        </w:tc>
        <w:tc>
          <w:tcPr>
            <w:tcW w:w="1140"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 xml:space="preserve">56.2 </w:t>
            </w:r>
          </w:p>
        </w:tc>
        <w:tc>
          <w:tcPr>
            <w:tcW w:w="1125" w:type="dxa"/>
            <w:tcBorders>
              <w:top w:val="nil"/>
              <w:left w:val="nil"/>
              <w:bottom w:val="nil"/>
              <w:right w:val="nil"/>
            </w:tcBorders>
            <w:tcMar>
              <w:top w:w="100" w:type="dxa"/>
              <w:left w:w="100" w:type="dxa"/>
              <w:bottom w:w="100" w:type="dxa"/>
              <w:right w:w="100" w:type="dxa"/>
            </w:tcMar>
            <w:vAlign w:val="center"/>
          </w:tcPr>
          <w:p w:rsidR="00BA7A83" w:rsidRDefault="009C4164">
            <w:pPr>
              <w:jc w:val="both"/>
              <w:rPr>
                <w:sz w:val="20"/>
                <w:szCs w:val="20"/>
              </w:rPr>
            </w:pPr>
            <w:r>
              <w:rPr>
                <w:sz w:val="20"/>
                <w:szCs w:val="20"/>
              </w:rPr>
              <w:t>59.4</w:t>
            </w:r>
          </w:p>
        </w:tc>
        <w:tc>
          <w:tcPr>
            <w:tcW w:w="270" w:type="dxa"/>
            <w:tcBorders>
              <w:top w:val="nil"/>
              <w:left w:val="nil"/>
              <w:bottom w:val="nil"/>
              <w:right w:val="nil"/>
            </w:tcBorders>
            <w:tcMar>
              <w:top w:w="100" w:type="dxa"/>
              <w:left w:w="100" w:type="dxa"/>
              <w:bottom w:w="100" w:type="dxa"/>
              <w:right w:w="100" w:type="dxa"/>
            </w:tcMar>
            <w:vAlign w:val="center"/>
          </w:tcPr>
          <w:p w:rsidR="00BA7A83" w:rsidRDefault="00BA7A83">
            <w:pPr>
              <w:jc w:val="both"/>
              <w:rPr>
                <w:sz w:val="20"/>
                <w:szCs w:val="20"/>
              </w:rPr>
            </w:pPr>
          </w:p>
        </w:tc>
      </w:tr>
    </w:tbl>
    <w:p w:rsidR="00BA7A83" w:rsidRPr="009C4164" w:rsidRDefault="009C4164">
      <w:pPr>
        <w:jc w:val="both"/>
        <w:rPr>
          <w:i/>
          <w:sz w:val="20"/>
          <w:szCs w:val="20"/>
          <w:lang w:val="ru-RU"/>
        </w:rPr>
      </w:pPr>
      <w:r w:rsidRPr="009C4164">
        <w:rPr>
          <w:i/>
          <w:sz w:val="20"/>
          <w:szCs w:val="20"/>
          <w:lang w:val="ru-RU"/>
        </w:rPr>
        <w:t>* неоподатковуваних мінімумів доходів громадян (дорівнює 17 гривням)</w:t>
      </w:r>
    </w:p>
    <w:p w:rsidR="00BA7A83" w:rsidRPr="009C4164" w:rsidRDefault="009C4164">
      <w:pPr>
        <w:jc w:val="both"/>
        <w:rPr>
          <w:sz w:val="20"/>
          <w:szCs w:val="20"/>
          <w:lang w:val="ru-RU"/>
        </w:rPr>
      </w:pPr>
      <w:r w:rsidRPr="009C4164">
        <w:rPr>
          <w:sz w:val="20"/>
          <w:szCs w:val="20"/>
          <w:lang w:val="ru-RU"/>
        </w:rPr>
        <w:t>** такий вид покарання не призначався</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Загалом різниця в середньому між розміром (строком) покарання жінок та чоловіків </w:t>
      </w:r>
      <w:proofErr w:type="gramStart"/>
      <w:r w:rsidRPr="009C4164">
        <w:rPr>
          <w:sz w:val="20"/>
          <w:szCs w:val="20"/>
          <w:lang w:val="ru-RU"/>
        </w:rPr>
        <w:t>в</w:t>
      </w:r>
      <w:proofErr w:type="gramEnd"/>
      <w:r w:rsidRPr="009C4164">
        <w:rPr>
          <w:sz w:val="20"/>
          <w:szCs w:val="20"/>
          <w:lang w:val="ru-RU"/>
        </w:rPr>
        <w:t>ідхиляються від загального середнього значення не більше ніж на</w:t>
      </w:r>
      <w:r w:rsidRPr="009C4164">
        <w:rPr>
          <w:sz w:val="20"/>
          <w:szCs w:val="20"/>
          <w:lang w:val="ru-RU"/>
        </w:rPr>
        <w:t xml:space="preserve"> 15% (максимальне значення у випадках позбавлення волі). Відсутність відхилення від загального середнього спостерігаються  для покарання у вигляді обмеження волі.</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В контексті аналізу наркополітики наведені дані також цікаві з точки зору спі</w:t>
      </w:r>
      <w:proofErr w:type="gramStart"/>
      <w:r w:rsidRPr="009C4164">
        <w:rPr>
          <w:sz w:val="20"/>
          <w:szCs w:val="20"/>
          <w:lang w:val="ru-RU"/>
        </w:rPr>
        <w:t>вв</w:t>
      </w:r>
      <w:proofErr w:type="gramEnd"/>
      <w:r w:rsidRPr="009C4164">
        <w:rPr>
          <w:sz w:val="20"/>
          <w:szCs w:val="20"/>
          <w:lang w:val="ru-RU"/>
        </w:rPr>
        <w:t>ідношення пра</w:t>
      </w:r>
      <w:r w:rsidRPr="009C4164">
        <w:rPr>
          <w:sz w:val="20"/>
          <w:szCs w:val="20"/>
          <w:lang w:val="ru-RU"/>
        </w:rPr>
        <w:t>возастосовчої практики та нормативної рамки, яка встановлена законодавцем. Так, суд здійснює кваліфікацію та призначає покарання в тих межах, які визначені санкцією відповідної статті. За ідеальних умов правозастосовча практика та нормативні межі мали б ві</w:t>
      </w:r>
      <w:r w:rsidRPr="009C4164">
        <w:rPr>
          <w:sz w:val="20"/>
          <w:szCs w:val="20"/>
          <w:lang w:val="ru-RU"/>
        </w:rPr>
        <w:t>дповідно спі</w:t>
      </w:r>
      <w:proofErr w:type="gramStart"/>
      <w:r w:rsidRPr="009C4164">
        <w:rPr>
          <w:sz w:val="20"/>
          <w:szCs w:val="20"/>
          <w:lang w:val="ru-RU"/>
        </w:rPr>
        <w:t>вв</w:t>
      </w:r>
      <w:proofErr w:type="gramEnd"/>
      <w:r w:rsidRPr="009C4164">
        <w:rPr>
          <w:sz w:val="20"/>
          <w:szCs w:val="20"/>
          <w:lang w:val="ru-RU"/>
        </w:rPr>
        <w:t>ідноситися (Титаев).  Тобто більшість з призначених покарань мала б наближатися до середньої межі, визначеної законодавцем. Звісно при призначенні покарання суд враховує низку супутніх факторів, які пом’якшують або обтяжують провину, але сере</w:t>
      </w:r>
      <w:r w:rsidRPr="009C4164">
        <w:rPr>
          <w:sz w:val="20"/>
          <w:szCs w:val="20"/>
          <w:lang w:val="ru-RU"/>
        </w:rPr>
        <w:t xml:space="preserve">днє усіх призначених покарань мало б тяжіти до середнього, визначеного </w:t>
      </w:r>
      <w:proofErr w:type="gramStart"/>
      <w:r w:rsidRPr="009C4164">
        <w:rPr>
          <w:sz w:val="20"/>
          <w:szCs w:val="20"/>
          <w:lang w:val="ru-RU"/>
        </w:rPr>
        <w:t>нормативною</w:t>
      </w:r>
      <w:proofErr w:type="gramEnd"/>
      <w:r w:rsidRPr="009C4164">
        <w:rPr>
          <w:sz w:val="20"/>
          <w:szCs w:val="20"/>
          <w:lang w:val="ru-RU"/>
        </w:rPr>
        <w:t xml:space="preserve"> межею.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В отриманих нами даних чітко простежується зсув у бік призначення штрафів, при чому як в сенсі частоти використання цього виду покарання, так і зсув </w:t>
      </w:r>
      <w:proofErr w:type="gramStart"/>
      <w:r w:rsidRPr="009C4164">
        <w:rPr>
          <w:sz w:val="20"/>
          <w:szCs w:val="20"/>
          <w:lang w:val="ru-RU"/>
        </w:rPr>
        <w:t>в</w:t>
      </w:r>
      <w:proofErr w:type="gramEnd"/>
      <w:r w:rsidRPr="009C4164">
        <w:rPr>
          <w:sz w:val="20"/>
          <w:szCs w:val="20"/>
          <w:lang w:val="ru-RU"/>
        </w:rPr>
        <w:t xml:space="preserve"> бік найменш м</w:t>
      </w:r>
      <w:r w:rsidRPr="009C4164">
        <w:rPr>
          <w:sz w:val="20"/>
          <w:szCs w:val="20"/>
          <w:lang w:val="ru-RU"/>
        </w:rPr>
        <w:t xml:space="preserve">ожливого його розміру. </w:t>
      </w:r>
      <w:proofErr w:type="gramStart"/>
      <w:r w:rsidRPr="009C4164">
        <w:rPr>
          <w:sz w:val="20"/>
          <w:szCs w:val="20"/>
          <w:lang w:val="ru-RU"/>
        </w:rPr>
        <w:t>З</w:t>
      </w:r>
      <w:proofErr w:type="gramEnd"/>
      <w:r w:rsidRPr="009C4164">
        <w:rPr>
          <w:sz w:val="20"/>
          <w:szCs w:val="20"/>
          <w:lang w:val="ru-RU"/>
        </w:rPr>
        <w:t xml:space="preserve"> 5530 призначених покарань -  4176 склали штрафи. Санкція статті (нормативна рамка) встановлює </w:t>
      </w:r>
      <w:proofErr w:type="gramStart"/>
      <w:r w:rsidRPr="009C4164">
        <w:rPr>
          <w:sz w:val="20"/>
          <w:szCs w:val="20"/>
          <w:lang w:val="ru-RU"/>
        </w:rPr>
        <w:t>меж</w:t>
      </w:r>
      <w:proofErr w:type="gramEnd"/>
      <w:r w:rsidRPr="009C4164">
        <w:rPr>
          <w:sz w:val="20"/>
          <w:szCs w:val="20"/>
          <w:lang w:val="ru-RU"/>
        </w:rPr>
        <w:t>і від 50 до 100 неоподатковуваних мінімумів доходів громадян, де середнім значення відповідно буде 75 одиниць. На практиці середній ро</w:t>
      </w:r>
      <w:r w:rsidRPr="009C4164">
        <w:rPr>
          <w:sz w:val="20"/>
          <w:szCs w:val="20"/>
          <w:lang w:val="ru-RU"/>
        </w:rPr>
        <w:t>змі</w:t>
      </w:r>
      <w:proofErr w:type="gramStart"/>
      <w:r w:rsidRPr="009C4164">
        <w:rPr>
          <w:sz w:val="20"/>
          <w:szCs w:val="20"/>
          <w:lang w:val="ru-RU"/>
        </w:rPr>
        <w:t>р</w:t>
      </w:r>
      <w:proofErr w:type="gramEnd"/>
      <w:r w:rsidRPr="009C4164">
        <w:rPr>
          <w:sz w:val="20"/>
          <w:szCs w:val="20"/>
          <w:lang w:val="ru-RU"/>
        </w:rPr>
        <w:t xml:space="preserve"> призначених штрафів визначається на рівні 59,2 одиниці, з невеликою різницею для жінок (56,9) та чоловіків (59,4). Відповідно до ст. 53 </w:t>
      </w:r>
      <w:r w:rsidRPr="009C4164">
        <w:rPr>
          <w:sz w:val="20"/>
          <w:szCs w:val="20"/>
          <w:lang w:val="ru-RU"/>
        </w:rPr>
        <w:lastRenderedPageBreak/>
        <w:t>Кримінального Кодексу розмі</w:t>
      </w:r>
      <w:proofErr w:type="gramStart"/>
      <w:r w:rsidRPr="009C4164">
        <w:rPr>
          <w:sz w:val="20"/>
          <w:szCs w:val="20"/>
          <w:lang w:val="ru-RU"/>
        </w:rPr>
        <w:t>р</w:t>
      </w:r>
      <w:proofErr w:type="gramEnd"/>
      <w:r w:rsidRPr="009C4164">
        <w:rPr>
          <w:sz w:val="20"/>
          <w:szCs w:val="20"/>
          <w:lang w:val="ru-RU"/>
        </w:rPr>
        <w:t xml:space="preserve"> штрафу визначається судом залежно від тяжкості вчиненого кримінального правопорушення </w:t>
      </w:r>
      <w:r w:rsidRPr="009C4164">
        <w:rPr>
          <w:sz w:val="20"/>
          <w:szCs w:val="20"/>
          <w:lang w:val="ru-RU"/>
        </w:rPr>
        <w:t xml:space="preserve">та з урахуванням майнового стану винного. </w:t>
      </w:r>
    </w:p>
    <w:p w:rsidR="00BA7A83" w:rsidRPr="009C4164" w:rsidRDefault="009C4164">
      <w:pPr>
        <w:jc w:val="both"/>
        <w:rPr>
          <w:sz w:val="20"/>
          <w:szCs w:val="20"/>
          <w:lang w:val="ru-RU"/>
        </w:rPr>
      </w:pPr>
      <w:r>
        <w:rPr>
          <w:noProof/>
          <w:lang w:val="uk-UA"/>
        </w:rPr>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155563</wp:posOffset>
            </wp:positionV>
            <wp:extent cx="3567113" cy="35592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67113" cy="3559238"/>
                    </a:xfrm>
                    <a:prstGeom prst="rect">
                      <a:avLst/>
                    </a:prstGeom>
                    <a:ln/>
                  </pic:spPr>
                </pic:pic>
              </a:graphicData>
            </a:graphic>
          </wp:anchor>
        </w:drawing>
      </w:r>
    </w:p>
    <w:p w:rsidR="00BA7A83" w:rsidRPr="009C4164" w:rsidRDefault="009C4164">
      <w:pPr>
        <w:jc w:val="both"/>
        <w:rPr>
          <w:sz w:val="20"/>
          <w:szCs w:val="20"/>
          <w:lang w:val="ru-RU"/>
        </w:rPr>
      </w:pPr>
      <w:r w:rsidRPr="009C4164">
        <w:rPr>
          <w:sz w:val="20"/>
          <w:szCs w:val="20"/>
          <w:lang w:val="ru-RU"/>
        </w:rPr>
        <w:t xml:space="preserve">В своєму </w:t>
      </w:r>
      <w:proofErr w:type="gramStart"/>
      <w:r w:rsidRPr="009C4164">
        <w:rPr>
          <w:sz w:val="20"/>
          <w:szCs w:val="20"/>
          <w:lang w:val="ru-RU"/>
        </w:rPr>
        <w:t>досл</w:t>
      </w:r>
      <w:proofErr w:type="gramEnd"/>
      <w:r w:rsidRPr="009C4164">
        <w:rPr>
          <w:sz w:val="20"/>
          <w:szCs w:val="20"/>
          <w:lang w:val="ru-RU"/>
        </w:rPr>
        <w:t>ідженні Титаєв (2020) пояснює подібні невідповідності (коли суди призначають значно нижчі покарання від встановлених законодавцем середніх значень) тим, що 1) законодавець не правильно оцінив ступін</w:t>
      </w:r>
      <w:r w:rsidRPr="009C4164">
        <w:rPr>
          <w:sz w:val="20"/>
          <w:szCs w:val="20"/>
          <w:lang w:val="ru-RU"/>
        </w:rPr>
        <w:t>ь суспільної небезпеки (або тяжкості злочину), 2) суд викривив ідею законодавця.</w:t>
      </w:r>
    </w:p>
    <w:p w:rsidR="00BA7A83" w:rsidRPr="009C4164" w:rsidRDefault="00BA7A83">
      <w:pPr>
        <w:jc w:val="both"/>
        <w:rPr>
          <w:sz w:val="20"/>
          <w:szCs w:val="20"/>
          <w:lang w:val="ru-RU"/>
        </w:rPr>
      </w:pPr>
    </w:p>
    <w:p w:rsidR="00BA7A83" w:rsidRDefault="009C4164">
      <w:pPr>
        <w:jc w:val="both"/>
        <w:rPr>
          <w:sz w:val="20"/>
          <w:szCs w:val="20"/>
        </w:rPr>
      </w:pPr>
      <w:r w:rsidRPr="009C4164">
        <w:rPr>
          <w:sz w:val="20"/>
          <w:szCs w:val="20"/>
          <w:lang w:val="ru-RU"/>
        </w:rPr>
        <w:t xml:space="preserve">В українському контексті цей дисбаланс власне може </w:t>
      </w:r>
      <w:proofErr w:type="gramStart"/>
      <w:r w:rsidRPr="009C4164">
        <w:rPr>
          <w:sz w:val="20"/>
          <w:szCs w:val="20"/>
          <w:lang w:val="ru-RU"/>
        </w:rPr>
        <w:t>св</w:t>
      </w:r>
      <w:proofErr w:type="gramEnd"/>
      <w:r w:rsidRPr="009C4164">
        <w:rPr>
          <w:sz w:val="20"/>
          <w:szCs w:val="20"/>
          <w:lang w:val="ru-RU"/>
        </w:rPr>
        <w:t xml:space="preserve">ідчити про нецілісність наркополітики на державному рівні. Іншими словами суди не бачать тієї суспільної небезпеки, яку вбачав законодавець, формуючи санкцію ч.1 ст. 309 Кримінального Кодексу. </w:t>
      </w:r>
      <w:proofErr w:type="gramStart"/>
      <w:r>
        <w:rPr>
          <w:sz w:val="20"/>
          <w:szCs w:val="20"/>
        </w:rPr>
        <w:t xml:space="preserve">Крім того </w:t>
      </w:r>
      <w:r>
        <w:rPr>
          <w:sz w:val="20"/>
          <w:szCs w:val="20"/>
        </w:rPr>
        <w:t>варто згадати широку дискусію про декриміналізацію злочинів, пов’язаних з вживанням та зберіганням наркотиків, а особливо хвилю декриміналізації та легалізації окремих наркотичних речовин у світі, яка почалася декілька років тому.</w:t>
      </w:r>
      <w:proofErr w:type="gramEnd"/>
      <w:r>
        <w:rPr>
          <w:sz w:val="20"/>
          <w:szCs w:val="20"/>
        </w:rPr>
        <w:t xml:space="preserve"> </w:t>
      </w:r>
    </w:p>
    <w:p w:rsidR="00BA7A83" w:rsidRDefault="00BA7A83">
      <w:pPr>
        <w:jc w:val="both"/>
        <w:rPr>
          <w:sz w:val="20"/>
          <w:szCs w:val="20"/>
        </w:rPr>
      </w:pPr>
    </w:p>
    <w:p w:rsidR="00BA7A83" w:rsidRPr="009C4164" w:rsidRDefault="009C4164">
      <w:pPr>
        <w:jc w:val="both"/>
        <w:rPr>
          <w:sz w:val="20"/>
          <w:szCs w:val="20"/>
          <w:lang w:val="ru-RU"/>
        </w:rPr>
      </w:pPr>
      <w:r w:rsidRPr="009C4164">
        <w:rPr>
          <w:sz w:val="20"/>
          <w:szCs w:val="20"/>
          <w:lang w:val="ru-RU"/>
        </w:rPr>
        <w:t>Розуміючи зміну суспіль</w:t>
      </w:r>
      <w:r w:rsidRPr="009C4164">
        <w:rPr>
          <w:sz w:val="20"/>
          <w:szCs w:val="20"/>
          <w:lang w:val="ru-RU"/>
        </w:rPr>
        <w:t xml:space="preserve">ного контексту законодавець намагається адаптувати норми до наявного </w:t>
      </w:r>
      <w:proofErr w:type="gramStart"/>
      <w:r w:rsidRPr="009C4164">
        <w:rPr>
          <w:sz w:val="20"/>
          <w:szCs w:val="20"/>
          <w:lang w:val="ru-RU"/>
        </w:rPr>
        <w:t>соц</w:t>
      </w:r>
      <w:proofErr w:type="gramEnd"/>
      <w:r w:rsidRPr="009C4164">
        <w:rPr>
          <w:sz w:val="20"/>
          <w:szCs w:val="20"/>
          <w:lang w:val="ru-RU"/>
        </w:rPr>
        <w:t xml:space="preserve">іального порядку. Кроком у бік “декриміналізації” стало запровадження кримінальних проступків. </w:t>
      </w:r>
      <w:proofErr w:type="gramStart"/>
      <w:r w:rsidRPr="009C4164">
        <w:rPr>
          <w:sz w:val="20"/>
          <w:szCs w:val="20"/>
          <w:lang w:val="ru-RU"/>
        </w:rPr>
        <w:t>З</w:t>
      </w:r>
      <w:proofErr w:type="gramEnd"/>
      <w:r w:rsidRPr="009C4164">
        <w:rPr>
          <w:sz w:val="20"/>
          <w:szCs w:val="20"/>
          <w:lang w:val="ru-RU"/>
        </w:rPr>
        <w:t xml:space="preserve"> 1 червня 2020 року діяння, передбачені ч.1 ст. 309 Кримінального Кодексу стали кваліфік</w:t>
      </w:r>
      <w:r w:rsidRPr="009C4164">
        <w:rPr>
          <w:sz w:val="20"/>
          <w:szCs w:val="20"/>
          <w:lang w:val="ru-RU"/>
        </w:rPr>
        <w:t xml:space="preserve">уватися як кримінальні проступки. </w:t>
      </w:r>
      <w:proofErr w:type="gramStart"/>
      <w:r w:rsidRPr="009C4164">
        <w:rPr>
          <w:sz w:val="20"/>
          <w:szCs w:val="20"/>
          <w:lang w:val="ru-RU"/>
        </w:rPr>
        <w:t>Змінилась і санкція статті, тепер вона встановлює такі нормативні межі: штраф від 1000 до 3000, виправні роботи до 2 років, арешт до 6 місяців, обмеження волі до 5 років. І хоча з санкції статті прибрали такий вид покаранн</w:t>
      </w:r>
      <w:r w:rsidRPr="009C4164">
        <w:rPr>
          <w:sz w:val="20"/>
          <w:szCs w:val="20"/>
          <w:lang w:val="ru-RU"/>
        </w:rPr>
        <w:t>я як позбавлення волі, все ж важко говорити про пом’якшення покарання та лібералізацію наркопол</w:t>
      </w:r>
      <w:proofErr w:type="gramEnd"/>
      <w:r w:rsidRPr="009C4164">
        <w:rPr>
          <w:sz w:val="20"/>
          <w:szCs w:val="20"/>
          <w:lang w:val="ru-RU"/>
        </w:rPr>
        <w:t xml:space="preserve">ітики, особливо враховуючи низький відсоток </w:t>
      </w:r>
      <w:proofErr w:type="gramStart"/>
      <w:r w:rsidRPr="009C4164">
        <w:rPr>
          <w:sz w:val="20"/>
          <w:szCs w:val="20"/>
          <w:lang w:val="ru-RU"/>
        </w:rPr>
        <w:t>осіб</w:t>
      </w:r>
      <w:proofErr w:type="gramEnd"/>
      <w:r w:rsidRPr="009C4164">
        <w:rPr>
          <w:sz w:val="20"/>
          <w:szCs w:val="20"/>
          <w:lang w:val="ru-RU"/>
        </w:rPr>
        <w:t>, які отримали реальний строк за цією статтею до внесення відповідних змін. Суди за попередніми санкціями намагал</w:t>
      </w:r>
      <w:r w:rsidRPr="009C4164">
        <w:rPr>
          <w:sz w:val="20"/>
          <w:szCs w:val="20"/>
          <w:lang w:val="ru-RU"/>
        </w:rPr>
        <w:t xml:space="preserve">ися призначати якнайнижче покарання, але замість зниження санкції законодавець фактично збільшив покарання. </w:t>
      </w:r>
    </w:p>
    <w:p w:rsidR="00BA7A83" w:rsidRPr="009C4164" w:rsidRDefault="00BA7A83">
      <w:pPr>
        <w:jc w:val="both"/>
        <w:rPr>
          <w:sz w:val="20"/>
          <w:szCs w:val="20"/>
          <w:lang w:val="ru-RU"/>
        </w:rPr>
      </w:pPr>
    </w:p>
    <w:p w:rsidR="00BA7A83" w:rsidRPr="009C4164" w:rsidRDefault="009C4164">
      <w:pPr>
        <w:jc w:val="both"/>
        <w:rPr>
          <w:sz w:val="20"/>
          <w:szCs w:val="20"/>
          <w:lang w:val="ru-RU"/>
        </w:rPr>
      </w:pPr>
      <w:r w:rsidRPr="009C4164">
        <w:rPr>
          <w:sz w:val="20"/>
          <w:szCs w:val="20"/>
          <w:lang w:val="ru-RU"/>
        </w:rPr>
        <w:t xml:space="preserve">Також в ході </w:t>
      </w:r>
      <w:proofErr w:type="gramStart"/>
      <w:r w:rsidRPr="009C4164">
        <w:rPr>
          <w:sz w:val="20"/>
          <w:szCs w:val="20"/>
          <w:lang w:val="ru-RU"/>
        </w:rPr>
        <w:t>досл</w:t>
      </w:r>
      <w:proofErr w:type="gramEnd"/>
      <w:r w:rsidRPr="009C4164">
        <w:rPr>
          <w:sz w:val="20"/>
          <w:szCs w:val="20"/>
          <w:lang w:val="ru-RU"/>
        </w:rPr>
        <w:t>ідження було проаналізовано кількість укладених та затверджених угод про визнання винуватості. Первинна гіпотеза полягала у тому,</w:t>
      </w:r>
      <w:r w:rsidRPr="009C4164">
        <w:rPr>
          <w:sz w:val="20"/>
          <w:szCs w:val="20"/>
          <w:lang w:val="ru-RU"/>
        </w:rPr>
        <w:t xml:space="preserve"> що жінки будуть більш схильні до укладення таких угод, оскільки вони гарантують певну визначеність щодо призначення покарання. Втім ця гіпотеза не </w:t>
      </w:r>
      <w:proofErr w:type="gramStart"/>
      <w:r w:rsidRPr="009C4164">
        <w:rPr>
          <w:sz w:val="20"/>
          <w:szCs w:val="20"/>
          <w:lang w:val="ru-RU"/>
        </w:rPr>
        <w:t>п</w:t>
      </w:r>
      <w:proofErr w:type="gramEnd"/>
      <w:r w:rsidRPr="009C4164">
        <w:rPr>
          <w:sz w:val="20"/>
          <w:szCs w:val="20"/>
          <w:lang w:val="ru-RU"/>
        </w:rPr>
        <w:t xml:space="preserve">ідтвердилась. Відсоток укладених угод склав 33% </w:t>
      </w:r>
      <w:proofErr w:type="gramStart"/>
      <w:r w:rsidRPr="009C4164">
        <w:rPr>
          <w:sz w:val="20"/>
          <w:szCs w:val="20"/>
          <w:lang w:val="ru-RU"/>
        </w:rPr>
        <w:t>для</w:t>
      </w:r>
      <w:proofErr w:type="gramEnd"/>
      <w:r w:rsidRPr="009C4164">
        <w:rPr>
          <w:sz w:val="20"/>
          <w:szCs w:val="20"/>
          <w:lang w:val="ru-RU"/>
        </w:rPr>
        <w:t xml:space="preserve"> жінок та 32% для чоловіків. </w:t>
      </w:r>
    </w:p>
    <w:p w:rsidR="00BA7A83" w:rsidRPr="009C4164" w:rsidRDefault="00BA7A83">
      <w:pPr>
        <w:jc w:val="both"/>
        <w:rPr>
          <w:sz w:val="20"/>
          <w:szCs w:val="20"/>
          <w:lang w:val="ru-RU"/>
        </w:rPr>
      </w:pPr>
    </w:p>
    <w:p w:rsidR="00BA7A83" w:rsidRDefault="009C4164">
      <w:pPr>
        <w:jc w:val="both"/>
        <w:rPr>
          <w:b/>
          <w:sz w:val="20"/>
          <w:szCs w:val="20"/>
        </w:rPr>
      </w:pPr>
      <w:r>
        <w:rPr>
          <w:b/>
          <w:sz w:val="20"/>
          <w:szCs w:val="20"/>
        </w:rPr>
        <w:t xml:space="preserve">Джерела: </w:t>
      </w:r>
    </w:p>
    <w:p w:rsidR="00BA7A83" w:rsidRDefault="00BA7A83">
      <w:pPr>
        <w:jc w:val="both"/>
        <w:rPr>
          <w:sz w:val="20"/>
          <w:szCs w:val="20"/>
        </w:rPr>
      </w:pPr>
    </w:p>
    <w:p w:rsidR="00BA7A83" w:rsidRDefault="009C4164" w:rsidP="009C4164">
      <w:pPr>
        <w:rPr>
          <w:sz w:val="20"/>
          <w:szCs w:val="20"/>
        </w:rPr>
      </w:pPr>
      <w:r>
        <w:rPr>
          <w:sz w:val="20"/>
          <w:szCs w:val="20"/>
        </w:rPr>
        <w:t>Campaniello, N</w:t>
      </w:r>
      <w:r>
        <w:rPr>
          <w:sz w:val="20"/>
          <w:szCs w:val="20"/>
        </w:rPr>
        <w:t xml:space="preserve">adia. </w:t>
      </w:r>
      <w:proofErr w:type="gramStart"/>
      <w:r>
        <w:rPr>
          <w:sz w:val="20"/>
          <w:szCs w:val="20"/>
        </w:rPr>
        <w:t>“</w:t>
      </w:r>
      <w:r>
        <w:rPr>
          <w:i/>
          <w:sz w:val="20"/>
          <w:szCs w:val="20"/>
        </w:rPr>
        <w:t>Women in crime”</w:t>
      </w:r>
      <w:r>
        <w:rPr>
          <w:sz w:val="20"/>
          <w:szCs w:val="20"/>
        </w:rPr>
        <w:t>.</w:t>
      </w:r>
      <w:proofErr w:type="gramEnd"/>
      <w:r>
        <w:rPr>
          <w:sz w:val="20"/>
          <w:szCs w:val="20"/>
        </w:rPr>
        <w:t xml:space="preserve"> </w:t>
      </w:r>
      <w:proofErr w:type="gramStart"/>
      <w:r>
        <w:rPr>
          <w:sz w:val="20"/>
          <w:szCs w:val="20"/>
        </w:rPr>
        <w:t>IZA World of Labor.</w:t>
      </w:r>
      <w:proofErr w:type="gramEnd"/>
      <w:r>
        <w:rPr>
          <w:sz w:val="20"/>
          <w:szCs w:val="20"/>
        </w:rPr>
        <w:t xml:space="preserve"> Institute of Labor Economics (IZA), Bonn, Iss. (2019).</w:t>
      </w:r>
      <w:bookmarkStart w:id="0" w:name="_GoBack"/>
      <w:bookmarkEnd w:id="0"/>
    </w:p>
    <w:p w:rsidR="00BA7A83" w:rsidRDefault="00BA7A83" w:rsidP="009C4164">
      <w:pPr>
        <w:rPr>
          <w:sz w:val="20"/>
          <w:szCs w:val="20"/>
        </w:rPr>
      </w:pPr>
    </w:p>
    <w:p w:rsidR="00BA7A83" w:rsidRDefault="009C4164" w:rsidP="009C4164">
      <w:pPr>
        <w:rPr>
          <w:color w:val="222222"/>
          <w:sz w:val="20"/>
          <w:szCs w:val="20"/>
          <w:highlight w:val="white"/>
        </w:rPr>
      </w:pPr>
      <w:proofErr w:type="gramStart"/>
      <w:r>
        <w:rPr>
          <w:color w:val="222222"/>
          <w:sz w:val="20"/>
          <w:szCs w:val="20"/>
          <w:highlight w:val="white"/>
        </w:rPr>
        <w:t>Chesney-Lind, M. (1995).</w:t>
      </w:r>
      <w:proofErr w:type="gramEnd"/>
      <w:r>
        <w:rPr>
          <w:color w:val="222222"/>
          <w:sz w:val="20"/>
          <w:szCs w:val="20"/>
          <w:highlight w:val="white"/>
        </w:rPr>
        <w:t xml:space="preserve"> </w:t>
      </w:r>
      <w:proofErr w:type="gramStart"/>
      <w:r>
        <w:rPr>
          <w:color w:val="222222"/>
          <w:sz w:val="20"/>
          <w:szCs w:val="20"/>
          <w:highlight w:val="white"/>
        </w:rPr>
        <w:t>Rethinking women’s imprisonment.</w:t>
      </w:r>
      <w:proofErr w:type="gramEnd"/>
      <w:r>
        <w:rPr>
          <w:color w:val="222222"/>
          <w:sz w:val="20"/>
          <w:szCs w:val="20"/>
          <w:highlight w:val="white"/>
        </w:rPr>
        <w:t xml:space="preserve"> In B. R. Price and N. J. Sokoloff (Eds.), </w:t>
      </w:r>
      <w:proofErr w:type="gramStart"/>
      <w:r>
        <w:rPr>
          <w:color w:val="222222"/>
          <w:sz w:val="20"/>
          <w:szCs w:val="20"/>
          <w:highlight w:val="white"/>
        </w:rPr>
        <w:t>The</w:t>
      </w:r>
      <w:proofErr w:type="gramEnd"/>
      <w:r>
        <w:rPr>
          <w:color w:val="222222"/>
          <w:sz w:val="20"/>
          <w:szCs w:val="20"/>
          <w:highlight w:val="white"/>
        </w:rPr>
        <w:t xml:space="preserve"> criminal justice system and women: Offenders, victim</w:t>
      </w:r>
      <w:r>
        <w:rPr>
          <w:color w:val="222222"/>
          <w:sz w:val="20"/>
          <w:szCs w:val="20"/>
          <w:highlight w:val="white"/>
        </w:rPr>
        <w:t>s, and workers. 2”</w:t>
      </w:r>
      <w:proofErr w:type="gramStart"/>
      <w:r>
        <w:rPr>
          <w:color w:val="222222"/>
          <w:sz w:val="20"/>
          <w:szCs w:val="20"/>
          <w:highlight w:val="white"/>
        </w:rPr>
        <w:t>’ed</w:t>
      </w:r>
      <w:proofErr w:type="gramEnd"/>
      <w:r>
        <w:rPr>
          <w:color w:val="222222"/>
          <w:sz w:val="20"/>
          <w:szCs w:val="20"/>
          <w:highlight w:val="white"/>
        </w:rPr>
        <w:t>. New York: McGrawHill.</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 xml:space="preserve">Curry, Theodore R., and Guadalupe Corral-Camacho. "Sentencing young minority males for drug offenses: Testing for conditional effects between race/ethnicity, gender and age during the US war on drugs." </w:t>
      </w:r>
      <w:r>
        <w:rPr>
          <w:i/>
          <w:color w:val="222222"/>
          <w:sz w:val="20"/>
          <w:szCs w:val="20"/>
          <w:highlight w:val="white"/>
        </w:rPr>
        <w:t>Punishme</w:t>
      </w:r>
      <w:r>
        <w:rPr>
          <w:i/>
          <w:color w:val="222222"/>
          <w:sz w:val="20"/>
          <w:szCs w:val="20"/>
          <w:highlight w:val="white"/>
        </w:rPr>
        <w:t>nt &amp; Society</w:t>
      </w:r>
      <w:r>
        <w:rPr>
          <w:color w:val="222222"/>
          <w:sz w:val="20"/>
          <w:szCs w:val="20"/>
          <w:highlight w:val="white"/>
        </w:rPr>
        <w:t xml:space="preserve"> 10.3 (2008): 253-276.</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proofErr w:type="gramStart"/>
      <w:r>
        <w:rPr>
          <w:color w:val="222222"/>
          <w:sz w:val="20"/>
          <w:szCs w:val="20"/>
          <w:highlight w:val="white"/>
        </w:rPr>
        <w:t>Fernando Rodriguez, S., Theodore R. Curry, and Gang Lee.</w:t>
      </w:r>
      <w:proofErr w:type="gramEnd"/>
      <w:r>
        <w:rPr>
          <w:color w:val="222222"/>
          <w:sz w:val="20"/>
          <w:szCs w:val="20"/>
          <w:highlight w:val="white"/>
        </w:rPr>
        <w:t xml:space="preserve"> "Gender differences in criminal sentencing: Do effects vary across violent, property, and drug offenses</w:t>
      </w:r>
      <w:proofErr w:type="gramStart"/>
      <w:r>
        <w:rPr>
          <w:color w:val="222222"/>
          <w:sz w:val="20"/>
          <w:szCs w:val="20"/>
          <w:highlight w:val="white"/>
        </w:rPr>
        <w:t>?.</w:t>
      </w:r>
      <w:proofErr w:type="gramEnd"/>
      <w:r>
        <w:rPr>
          <w:color w:val="222222"/>
          <w:sz w:val="20"/>
          <w:szCs w:val="20"/>
          <w:highlight w:val="white"/>
        </w:rPr>
        <w:t xml:space="preserve">" </w:t>
      </w:r>
      <w:r>
        <w:rPr>
          <w:i/>
          <w:color w:val="222222"/>
          <w:sz w:val="20"/>
          <w:szCs w:val="20"/>
          <w:highlight w:val="white"/>
        </w:rPr>
        <w:t>Social Science Quarterly</w:t>
      </w:r>
      <w:r>
        <w:rPr>
          <w:color w:val="222222"/>
          <w:sz w:val="20"/>
          <w:szCs w:val="20"/>
          <w:highlight w:val="white"/>
        </w:rPr>
        <w:t xml:space="preserve"> 87.2 (2006): 318-339.</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sz w:val="20"/>
          <w:szCs w:val="20"/>
        </w:rPr>
        <w:t>Foges, C</w:t>
      </w:r>
      <w:r>
        <w:rPr>
          <w:sz w:val="20"/>
          <w:szCs w:val="20"/>
        </w:rPr>
        <w:t xml:space="preserve">lare. </w:t>
      </w:r>
      <w:r>
        <w:rPr>
          <w:i/>
          <w:sz w:val="20"/>
          <w:szCs w:val="20"/>
        </w:rPr>
        <w:t>“Women must face the same justice as men”.</w:t>
      </w:r>
      <w:r>
        <w:rPr>
          <w:sz w:val="20"/>
          <w:szCs w:val="20"/>
        </w:rPr>
        <w:t xml:space="preserve"> </w:t>
      </w:r>
      <w:proofErr w:type="gramStart"/>
      <w:r>
        <w:rPr>
          <w:sz w:val="20"/>
          <w:szCs w:val="20"/>
        </w:rPr>
        <w:t>The Times.</w:t>
      </w:r>
      <w:proofErr w:type="gramEnd"/>
      <w:r>
        <w:rPr>
          <w:sz w:val="20"/>
          <w:szCs w:val="20"/>
        </w:rPr>
        <w:t xml:space="preserve"> </w:t>
      </w:r>
      <w:hyperlink r:id="rId11">
        <w:r>
          <w:rPr>
            <w:color w:val="1155CC"/>
            <w:sz w:val="20"/>
            <w:szCs w:val="20"/>
            <w:u w:val="single"/>
          </w:rPr>
          <w:t>https://www.thetimes.co.uk/article/women-must-face-the-same-justice-as-men-xcmcx7d5j</w:t>
        </w:r>
      </w:hyperlink>
      <w:r>
        <w:rPr>
          <w:color w:val="1155CC"/>
          <w:sz w:val="20"/>
          <w:szCs w:val="20"/>
          <w:u w:val="single"/>
        </w:rPr>
        <w:t xml:space="preserve"> </w:t>
      </w:r>
      <w:r>
        <w:rPr>
          <w:sz w:val="20"/>
          <w:szCs w:val="20"/>
        </w:rPr>
        <w:t xml:space="preserve"> </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proofErr w:type="gramStart"/>
      <w:r>
        <w:rPr>
          <w:color w:val="222222"/>
          <w:sz w:val="20"/>
          <w:szCs w:val="20"/>
          <w:highlight w:val="white"/>
        </w:rPr>
        <w:t>Home Office.</w:t>
      </w:r>
      <w:proofErr w:type="gramEnd"/>
      <w:r>
        <w:rPr>
          <w:color w:val="222222"/>
          <w:sz w:val="20"/>
          <w:szCs w:val="20"/>
          <w:highlight w:val="white"/>
        </w:rPr>
        <w:t xml:space="preserve"> </w:t>
      </w:r>
      <w:r>
        <w:rPr>
          <w:i/>
          <w:color w:val="222222"/>
          <w:sz w:val="20"/>
          <w:szCs w:val="20"/>
          <w:highlight w:val="white"/>
        </w:rPr>
        <w:t>"The Corston report: A report by Baroness Jean Corston of a review of women with particular vulnerabilities in the criminal justice system."</w:t>
      </w:r>
      <w:r>
        <w:rPr>
          <w:color w:val="222222"/>
          <w:sz w:val="20"/>
          <w:szCs w:val="20"/>
          <w:highlight w:val="white"/>
        </w:rPr>
        <w:t xml:space="preserve"> (2007).</w:t>
      </w:r>
    </w:p>
    <w:p w:rsidR="00BA7A83" w:rsidRDefault="00BA7A83" w:rsidP="009C4164">
      <w:pPr>
        <w:rPr>
          <w:sz w:val="20"/>
          <w:szCs w:val="20"/>
        </w:rPr>
      </w:pPr>
    </w:p>
    <w:p w:rsidR="00BA7A83" w:rsidRDefault="009C4164" w:rsidP="009C4164">
      <w:pPr>
        <w:rPr>
          <w:color w:val="222222"/>
          <w:sz w:val="20"/>
          <w:szCs w:val="20"/>
          <w:highlight w:val="white"/>
        </w:rPr>
      </w:pPr>
      <w:proofErr w:type="gramStart"/>
      <w:r>
        <w:rPr>
          <w:color w:val="222222"/>
          <w:sz w:val="20"/>
          <w:szCs w:val="20"/>
          <w:highlight w:val="white"/>
        </w:rPr>
        <w:t>Nagel, Stuart S., and Lenore J. Weitzman.</w:t>
      </w:r>
      <w:proofErr w:type="gramEnd"/>
      <w:r>
        <w:rPr>
          <w:color w:val="222222"/>
          <w:sz w:val="20"/>
          <w:szCs w:val="20"/>
          <w:highlight w:val="white"/>
        </w:rPr>
        <w:t xml:space="preserve"> </w:t>
      </w:r>
      <w:proofErr w:type="gramStart"/>
      <w:r>
        <w:rPr>
          <w:color w:val="222222"/>
          <w:sz w:val="20"/>
          <w:szCs w:val="20"/>
          <w:highlight w:val="white"/>
        </w:rPr>
        <w:t>"Women as litigants."</w:t>
      </w:r>
      <w:proofErr w:type="gramEnd"/>
      <w:r>
        <w:rPr>
          <w:color w:val="222222"/>
          <w:sz w:val="20"/>
          <w:szCs w:val="20"/>
          <w:highlight w:val="white"/>
        </w:rPr>
        <w:t xml:space="preserve"> </w:t>
      </w:r>
      <w:r>
        <w:rPr>
          <w:i/>
          <w:color w:val="222222"/>
          <w:sz w:val="20"/>
          <w:szCs w:val="20"/>
          <w:highlight w:val="white"/>
        </w:rPr>
        <w:t>Hastings LJ</w:t>
      </w:r>
      <w:r>
        <w:rPr>
          <w:color w:val="222222"/>
          <w:sz w:val="20"/>
          <w:szCs w:val="20"/>
          <w:highlight w:val="white"/>
        </w:rPr>
        <w:t xml:space="preserve"> 23 (1971): 171.</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proofErr w:type="gramStart"/>
      <w:r>
        <w:rPr>
          <w:color w:val="222222"/>
          <w:sz w:val="20"/>
          <w:szCs w:val="20"/>
          <w:highlight w:val="white"/>
        </w:rPr>
        <w:t>Novich, Madeleine, Anne Li Kringen, and Geoffrey Hunt.</w:t>
      </w:r>
      <w:proofErr w:type="gramEnd"/>
      <w:r>
        <w:rPr>
          <w:color w:val="222222"/>
          <w:sz w:val="20"/>
          <w:szCs w:val="20"/>
          <w:highlight w:val="white"/>
        </w:rPr>
        <w:t xml:space="preserve"> "“They Can’t Search Her”: How Gender Imbalances in the Police Force Contribute to Perceptions of Procedural Unfairness." </w:t>
      </w:r>
      <w:r>
        <w:rPr>
          <w:i/>
          <w:color w:val="222222"/>
          <w:sz w:val="20"/>
          <w:szCs w:val="20"/>
          <w:highlight w:val="white"/>
        </w:rPr>
        <w:t>Feminist criminology</w:t>
      </w:r>
      <w:r>
        <w:rPr>
          <w:color w:val="222222"/>
          <w:sz w:val="20"/>
          <w:szCs w:val="20"/>
          <w:highlight w:val="white"/>
        </w:rPr>
        <w:t xml:space="preserve"> 13.3 (2018): 260-286.</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 xml:space="preserve">Pope, Carl E. 1975. </w:t>
      </w:r>
      <w:proofErr w:type="gramStart"/>
      <w:r>
        <w:rPr>
          <w:color w:val="222222"/>
          <w:sz w:val="20"/>
          <w:szCs w:val="20"/>
          <w:highlight w:val="white"/>
        </w:rPr>
        <w:t>Sentencing Calif</w:t>
      </w:r>
      <w:r>
        <w:rPr>
          <w:color w:val="222222"/>
          <w:sz w:val="20"/>
          <w:szCs w:val="20"/>
          <w:highlight w:val="white"/>
        </w:rPr>
        <w:t>ornia Felony Offenders.</w:t>
      </w:r>
      <w:proofErr w:type="gramEnd"/>
      <w:r>
        <w:rPr>
          <w:color w:val="222222"/>
          <w:sz w:val="20"/>
          <w:szCs w:val="20"/>
          <w:highlight w:val="white"/>
        </w:rPr>
        <w:t xml:space="preserve"> Washington, DC: U.S. Government Printing Office.</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 xml:space="preserve">Sellin, Thorsten. </w:t>
      </w:r>
      <w:proofErr w:type="gramStart"/>
      <w:r>
        <w:rPr>
          <w:color w:val="222222"/>
          <w:sz w:val="20"/>
          <w:szCs w:val="20"/>
          <w:highlight w:val="white"/>
        </w:rPr>
        <w:t>"The Negro criminal a statistical note."</w:t>
      </w:r>
      <w:proofErr w:type="gramEnd"/>
      <w:r>
        <w:rPr>
          <w:color w:val="222222"/>
          <w:sz w:val="20"/>
          <w:szCs w:val="20"/>
          <w:highlight w:val="white"/>
        </w:rPr>
        <w:t xml:space="preserve"> </w:t>
      </w:r>
      <w:r>
        <w:rPr>
          <w:i/>
          <w:color w:val="222222"/>
          <w:sz w:val="20"/>
          <w:szCs w:val="20"/>
          <w:highlight w:val="white"/>
        </w:rPr>
        <w:t>The Annals of the American Academy of Political and Social Science</w:t>
      </w:r>
      <w:r>
        <w:rPr>
          <w:color w:val="222222"/>
          <w:sz w:val="20"/>
          <w:szCs w:val="20"/>
          <w:highlight w:val="white"/>
        </w:rPr>
        <w:t xml:space="preserve"> 140.1 (1928): 52-64.</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Spohn, Cassia. "Gender and sentenc</w:t>
      </w:r>
      <w:r>
        <w:rPr>
          <w:color w:val="222222"/>
          <w:sz w:val="20"/>
          <w:szCs w:val="20"/>
          <w:highlight w:val="white"/>
        </w:rPr>
        <w:t>ing of drug offenders: Is chivalry dead</w:t>
      </w:r>
      <w:proofErr w:type="gramStart"/>
      <w:r>
        <w:rPr>
          <w:color w:val="222222"/>
          <w:sz w:val="20"/>
          <w:szCs w:val="20"/>
          <w:highlight w:val="white"/>
        </w:rPr>
        <w:t>?.</w:t>
      </w:r>
      <w:proofErr w:type="gramEnd"/>
      <w:r>
        <w:rPr>
          <w:color w:val="222222"/>
          <w:sz w:val="20"/>
          <w:szCs w:val="20"/>
          <w:highlight w:val="white"/>
        </w:rPr>
        <w:t xml:space="preserve">" </w:t>
      </w:r>
      <w:r>
        <w:rPr>
          <w:i/>
          <w:color w:val="222222"/>
          <w:sz w:val="20"/>
          <w:szCs w:val="20"/>
          <w:highlight w:val="white"/>
        </w:rPr>
        <w:t>Criminal Justice Policy Review</w:t>
      </w:r>
      <w:r>
        <w:rPr>
          <w:color w:val="222222"/>
          <w:sz w:val="20"/>
          <w:szCs w:val="20"/>
          <w:highlight w:val="white"/>
        </w:rPr>
        <w:t xml:space="preserve"> 9.3-4 (1999): 365-399.</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 xml:space="preserve">Starr, Sonja B. </w:t>
      </w:r>
      <w:r>
        <w:rPr>
          <w:i/>
          <w:color w:val="222222"/>
          <w:sz w:val="20"/>
          <w:szCs w:val="20"/>
          <w:highlight w:val="white"/>
        </w:rPr>
        <w:t>"Estimating gender disparities in federal criminal cases”.</w:t>
      </w:r>
      <w:r>
        <w:rPr>
          <w:color w:val="222222"/>
          <w:sz w:val="20"/>
          <w:szCs w:val="20"/>
          <w:highlight w:val="white"/>
        </w:rPr>
        <w:t xml:space="preserve"> </w:t>
      </w:r>
      <w:proofErr w:type="gramStart"/>
      <w:r>
        <w:rPr>
          <w:color w:val="222222"/>
          <w:sz w:val="20"/>
          <w:szCs w:val="20"/>
          <w:highlight w:val="white"/>
        </w:rPr>
        <w:t>University of Michigan Law and Economics Research Paper, No. 12-018.".</w:t>
      </w:r>
      <w:proofErr w:type="gramEnd"/>
      <w:r>
        <w:rPr>
          <w:color w:val="222222"/>
          <w:sz w:val="20"/>
          <w:szCs w:val="20"/>
          <w:highlight w:val="white"/>
        </w:rPr>
        <w:t xml:space="preserve"> (2012).</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r>
        <w:rPr>
          <w:color w:val="222222"/>
          <w:sz w:val="20"/>
          <w:szCs w:val="20"/>
          <w:highlight w:val="white"/>
        </w:rPr>
        <w:t xml:space="preserve">Tuchman, </w:t>
      </w:r>
      <w:proofErr w:type="gramStart"/>
      <w:r>
        <w:rPr>
          <w:color w:val="222222"/>
          <w:sz w:val="20"/>
          <w:szCs w:val="20"/>
          <w:highlight w:val="white"/>
        </w:rPr>
        <w:t>Ellen .</w:t>
      </w:r>
      <w:proofErr w:type="gramEnd"/>
      <w:r>
        <w:rPr>
          <w:i/>
          <w:color w:val="222222"/>
          <w:sz w:val="20"/>
          <w:szCs w:val="20"/>
          <w:highlight w:val="white"/>
        </w:rPr>
        <w:t xml:space="preserve"> “Women and addiction: the importance of gender issues in substance abuse research”.</w:t>
      </w:r>
      <w:r>
        <w:rPr>
          <w:color w:val="222222"/>
          <w:sz w:val="20"/>
          <w:szCs w:val="20"/>
          <w:highlight w:val="white"/>
        </w:rPr>
        <w:t xml:space="preserve"> </w:t>
      </w:r>
      <w:proofErr w:type="gramStart"/>
      <w:r>
        <w:rPr>
          <w:color w:val="222222"/>
          <w:sz w:val="20"/>
          <w:szCs w:val="20"/>
          <w:highlight w:val="white"/>
        </w:rPr>
        <w:t>Journal of Addictive Diseases vol. 29 No. 2.</w:t>
      </w:r>
      <w:proofErr w:type="gramEnd"/>
      <w:r>
        <w:rPr>
          <w:color w:val="222222"/>
          <w:sz w:val="20"/>
          <w:szCs w:val="20"/>
          <w:highlight w:val="white"/>
        </w:rPr>
        <w:t xml:space="preserve"> (2010).</w:t>
      </w:r>
    </w:p>
    <w:p w:rsidR="00BA7A83" w:rsidRDefault="00BA7A83" w:rsidP="009C4164">
      <w:pPr>
        <w:rPr>
          <w:color w:val="222222"/>
          <w:sz w:val="20"/>
          <w:szCs w:val="20"/>
          <w:highlight w:val="white"/>
        </w:rPr>
      </w:pPr>
    </w:p>
    <w:p w:rsidR="00BA7A83" w:rsidRDefault="009C4164" w:rsidP="009C4164">
      <w:pPr>
        <w:rPr>
          <w:color w:val="222222"/>
          <w:sz w:val="20"/>
          <w:szCs w:val="20"/>
          <w:highlight w:val="white"/>
        </w:rPr>
      </w:pPr>
      <w:proofErr w:type="gramStart"/>
      <w:r>
        <w:rPr>
          <w:color w:val="222222"/>
          <w:sz w:val="20"/>
          <w:szCs w:val="20"/>
          <w:highlight w:val="white"/>
        </w:rPr>
        <w:t>Tyler, T., &amp; Wakslak, C. (2004).</w:t>
      </w:r>
      <w:proofErr w:type="gramEnd"/>
      <w:r>
        <w:rPr>
          <w:color w:val="222222"/>
          <w:sz w:val="20"/>
          <w:szCs w:val="20"/>
          <w:highlight w:val="white"/>
        </w:rPr>
        <w:t xml:space="preserve"> Profiling and police legitimacy: Procedural justice, attributions of</w:t>
      </w:r>
      <w:r>
        <w:rPr>
          <w:color w:val="222222"/>
          <w:sz w:val="20"/>
          <w:szCs w:val="20"/>
          <w:highlight w:val="white"/>
        </w:rPr>
        <w:t xml:space="preserve"> motive, and acceptance of police authority. </w:t>
      </w:r>
      <w:r>
        <w:rPr>
          <w:i/>
          <w:color w:val="222222"/>
          <w:sz w:val="20"/>
          <w:szCs w:val="20"/>
          <w:highlight w:val="white"/>
        </w:rPr>
        <w:t>Criminology</w:t>
      </w:r>
      <w:r>
        <w:rPr>
          <w:color w:val="222222"/>
          <w:sz w:val="20"/>
          <w:szCs w:val="20"/>
          <w:highlight w:val="white"/>
        </w:rPr>
        <w:t xml:space="preserve">, </w:t>
      </w:r>
      <w:r>
        <w:rPr>
          <w:i/>
          <w:color w:val="222222"/>
          <w:sz w:val="20"/>
          <w:szCs w:val="20"/>
          <w:highlight w:val="white"/>
        </w:rPr>
        <w:t>42</w:t>
      </w:r>
      <w:r>
        <w:rPr>
          <w:color w:val="222222"/>
          <w:sz w:val="20"/>
          <w:szCs w:val="20"/>
          <w:highlight w:val="white"/>
        </w:rPr>
        <w:t xml:space="preserve">, 253-281. </w:t>
      </w:r>
    </w:p>
    <w:p w:rsidR="00BA7A83" w:rsidRDefault="00BA7A83" w:rsidP="009C4164">
      <w:pPr>
        <w:rPr>
          <w:color w:val="222222"/>
          <w:sz w:val="20"/>
          <w:szCs w:val="20"/>
          <w:highlight w:val="white"/>
        </w:rPr>
      </w:pPr>
    </w:p>
    <w:p w:rsidR="00BA7A83" w:rsidRDefault="009C4164" w:rsidP="009C4164">
      <w:pPr>
        <w:rPr>
          <w:sz w:val="20"/>
          <w:szCs w:val="20"/>
        </w:rPr>
      </w:pPr>
      <w:proofErr w:type="gramStart"/>
      <w:r>
        <w:rPr>
          <w:sz w:val="20"/>
          <w:szCs w:val="20"/>
        </w:rPr>
        <w:t>UNODC.</w:t>
      </w:r>
      <w:proofErr w:type="gramEnd"/>
      <w:r>
        <w:rPr>
          <w:sz w:val="20"/>
          <w:szCs w:val="20"/>
        </w:rPr>
        <w:t xml:space="preserve"> </w:t>
      </w:r>
      <w:proofErr w:type="gramStart"/>
      <w:r>
        <w:rPr>
          <w:i/>
          <w:sz w:val="20"/>
          <w:szCs w:val="20"/>
        </w:rPr>
        <w:t>“Homicide and Gender”</w:t>
      </w:r>
      <w:r>
        <w:rPr>
          <w:sz w:val="20"/>
          <w:szCs w:val="20"/>
        </w:rPr>
        <w:t>.</w:t>
      </w:r>
      <w:proofErr w:type="gramEnd"/>
      <w:r>
        <w:rPr>
          <w:sz w:val="20"/>
          <w:szCs w:val="20"/>
        </w:rPr>
        <w:t xml:space="preserve"> </w:t>
      </w:r>
      <w:proofErr w:type="gramStart"/>
      <w:r>
        <w:rPr>
          <w:sz w:val="20"/>
          <w:szCs w:val="20"/>
        </w:rPr>
        <w:t>UNODC.</w:t>
      </w:r>
      <w:proofErr w:type="gramEnd"/>
      <w:r>
        <w:rPr>
          <w:sz w:val="20"/>
          <w:szCs w:val="20"/>
        </w:rPr>
        <w:t xml:space="preserve"> (2015). </w:t>
      </w:r>
    </w:p>
    <w:p w:rsidR="00BA7A83" w:rsidRDefault="00BA7A83" w:rsidP="009C4164">
      <w:pPr>
        <w:rPr>
          <w:sz w:val="20"/>
          <w:szCs w:val="20"/>
        </w:rPr>
      </w:pPr>
    </w:p>
    <w:p w:rsidR="00BA7A83" w:rsidRDefault="009C4164" w:rsidP="009C4164">
      <w:pPr>
        <w:rPr>
          <w:sz w:val="20"/>
          <w:szCs w:val="20"/>
        </w:rPr>
      </w:pPr>
      <w:proofErr w:type="gramStart"/>
      <w:r>
        <w:rPr>
          <w:sz w:val="20"/>
          <w:szCs w:val="20"/>
          <w:highlight w:val="white"/>
        </w:rPr>
        <w:t>UNODC.</w:t>
      </w:r>
      <w:proofErr w:type="gramEnd"/>
      <w:r>
        <w:rPr>
          <w:sz w:val="20"/>
          <w:szCs w:val="20"/>
          <w:highlight w:val="white"/>
        </w:rPr>
        <w:t xml:space="preserve"> </w:t>
      </w:r>
      <w:proofErr w:type="gramStart"/>
      <w:r>
        <w:rPr>
          <w:i/>
          <w:sz w:val="20"/>
          <w:szCs w:val="20"/>
          <w:highlight w:val="white"/>
        </w:rPr>
        <w:t>“World Drug report”.</w:t>
      </w:r>
      <w:proofErr w:type="gramEnd"/>
      <w:r>
        <w:rPr>
          <w:sz w:val="20"/>
          <w:szCs w:val="20"/>
          <w:highlight w:val="white"/>
        </w:rPr>
        <w:t xml:space="preserve"> </w:t>
      </w:r>
      <w:proofErr w:type="gramStart"/>
      <w:r>
        <w:rPr>
          <w:sz w:val="20"/>
          <w:szCs w:val="20"/>
          <w:highlight w:val="white"/>
        </w:rPr>
        <w:t>UNODC.</w:t>
      </w:r>
      <w:proofErr w:type="gramEnd"/>
      <w:r>
        <w:rPr>
          <w:sz w:val="20"/>
          <w:szCs w:val="20"/>
          <w:highlight w:val="white"/>
        </w:rPr>
        <w:t xml:space="preserve"> (2018)</w:t>
      </w:r>
    </w:p>
    <w:p w:rsidR="00BA7A83" w:rsidRDefault="00BA7A83" w:rsidP="009C4164">
      <w:pPr>
        <w:rPr>
          <w:sz w:val="20"/>
          <w:szCs w:val="20"/>
        </w:rPr>
      </w:pPr>
    </w:p>
    <w:p w:rsidR="00BA7A83" w:rsidRDefault="009C4164" w:rsidP="009C4164">
      <w:pPr>
        <w:rPr>
          <w:sz w:val="20"/>
          <w:szCs w:val="20"/>
        </w:rPr>
      </w:pPr>
      <w:r>
        <w:rPr>
          <w:i/>
          <w:sz w:val="20"/>
          <w:szCs w:val="20"/>
        </w:rPr>
        <w:t>“World Prison Brief Data: Ukraine”</w:t>
      </w:r>
      <w:r>
        <w:rPr>
          <w:sz w:val="20"/>
          <w:szCs w:val="20"/>
        </w:rPr>
        <w:t xml:space="preserve">. </w:t>
      </w:r>
      <w:proofErr w:type="gramStart"/>
      <w:r>
        <w:rPr>
          <w:sz w:val="20"/>
          <w:szCs w:val="20"/>
        </w:rPr>
        <w:t>World Prison Brief.</w:t>
      </w:r>
      <w:proofErr w:type="gramEnd"/>
      <w:r>
        <w:rPr>
          <w:sz w:val="20"/>
          <w:szCs w:val="20"/>
        </w:rPr>
        <w:t xml:space="preserve"> </w:t>
      </w:r>
    </w:p>
    <w:p w:rsidR="00BA7A83" w:rsidRDefault="00BA7A83">
      <w:pPr>
        <w:rPr>
          <w:sz w:val="20"/>
          <w:szCs w:val="20"/>
        </w:rPr>
      </w:pPr>
    </w:p>
    <w:p w:rsidR="00BA7A83" w:rsidRPr="009C4164" w:rsidRDefault="009C4164">
      <w:pPr>
        <w:rPr>
          <w:sz w:val="20"/>
          <w:szCs w:val="20"/>
          <w:lang w:val="ru-RU"/>
        </w:rPr>
      </w:pPr>
      <w:proofErr w:type="gramStart"/>
      <w:r>
        <w:rPr>
          <w:sz w:val="20"/>
          <w:szCs w:val="20"/>
        </w:rPr>
        <w:lastRenderedPageBreak/>
        <w:t xml:space="preserve">Донецький Меморіал. </w:t>
      </w:r>
      <w:r w:rsidRPr="009C4164">
        <w:rPr>
          <w:i/>
          <w:sz w:val="20"/>
          <w:szCs w:val="20"/>
          <w:lang w:val="ru-RU"/>
        </w:rPr>
        <w:t>“Кримінально-ви</w:t>
      </w:r>
      <w:r w:rsidRPr="009C4164">
        <w:rPr>
          <w:i/>
          <w:sz w:val="20"/>
          <w:szCs w:val="20"/>
          <w:lang w:val="ru-RU"/>
        </w:rPr>
        <w:t>конавча система України в грудні 2018 році.</w:t>
      </w:r>
      <w:proofErr w:type="gramEnd"/>
      <w:r w:rsidRPr="009C4164">
        <w:rPr>
          <w:i/>
          <w:sz w:val="20"/>
          <w:szCs w:val="20"/>
          <w:lang w:val="ru-RU"/>
        </w:rPr>
        <w:t xml:space="preserve"> Статистичний огляд”.</w:t>
      </w:r>
      <w:r w:rsidRPr="009C4164">
        <w:rPr>
          <w:sz w:val="20"/>
          <w:szCs w:val="20"/>
          <w:lang w:val="ru-RU"/>
        </w:rPr>
        <w:t xml:space="preserve"> Донецький Меморіал. </w:t>
      </w:r>
      <w:hyperlink r:id="rId12">
        <w:r>
          <w:rPr>
            <w:color w:val="1155CC"/>
            <w:sz w:val="20"/>
            <w:szCs w:val="20"/>
            <w:u w:val="single"/>
          </w:rPr>
          <w:t>http</w:t>
        </w:r>
        <w:r w:rsidRPr="009C4164">
          <w:rPr>
            <w:color w:val="1155CC"/>
            <w:sz w:val="20"/>
            <w:szCs w:val="20"/>
            <w:u w:val="single"/>
            <w:lang w:val="ru-RU"/>
          </w:rPr>
          <w:t>://</w:t>
        </w:r>
        <w:r>
          <w:rPr>
            <w:color w:val="1155CC"/>
            <w:sz w:val="20"/>
            <w:szCs w:val="20"/>
            <w:u w:val="single"/>
          </w:rPr>
          <w:t>ukrprison</w:t>
        </w:r>
        <w:r w:rsidRPr="009C4164">
          <w:rPr>
            <w:color w:val="1155CC"/>
            <w:sz w:val="20"/>
            <w:szCs w:val="20"/>
            <w:u w:val="single"/>
            <w:lang w:val="ru-RU"/>
          </w:rPr>
          <w:t>.</w:t>
        </w:r>
        <w:r>
          <w:rPr>
            <w:color w:val="1155CC"/>
            <w:sz w:val="20"/>
            <w:szCs w:val="20"/>
            <w:u w:val="single"/>
          </w:rPr>
          <w:t>org</w:t>
        </w:r>
        <w:r w:rsidRPr="009C4164">
          <w:rPr>
            <w:color w:val="1155CC"/>
            <w:sz w:val="20"/>
            <w:szCs w:val="20"/>
            <w:u w:val="single"/>
            <w:lang w:val="ru-RU"/>
          </w:rPr>
          <w:t>.</w:t>
        </w:r>
        <w:r>
          <w:rPr>
            <w:color w:val="1155CC"/>
            <w:sz w:val="20"/>
            <w:szCs w:val="20"/>
            <w:u w:val="single"/>
          </w:rPr>
          <w:t>ua</w:t>
        </w:r>
        <w:r w:rsidRPr="009C4164">
          <w:rPr>
            <w:color w:val="1155CC"/>
            <w:sz w:val="20"/>
            <w:szCs w:val="20"/>
            <w:u w:val="single"/>
            <w:lang w:val="ru-RU"/>
          </w:rPr>
          <w:t>/</w:t>
        </w:r>
        <w:r>
          <w:rPr>
            <w:color w:val="1155CC"/>
            <w:sz w:val="20"/>
            <w:szCs w:val="20"/>
            <w:u w:val="single"/>
          </w:rPr>
          <w:t>news</w:t>
        </w:r>
        <w:r w:rsidRPr="009C4164">
          <w:rPr>
            <w:color w:val="1155CC"/>
            <w:sz w:val="20"/>
            <w:szCs w:val="20"/>
            <w:u w:val="single"/>
            <w:lang w:val="ru-RU"/>
          </w:rPr>
          <w:t>/1545999995?</w:t>
        </w:r>
        <w:r>
          <w:rPr>
            <w:color w:val="1155CC"/>
            <w:sz w:val="20"/>
            <w:szCs w:val="20"/>
            <w:u w:val="single"/>
          </w:rPr>
          <w:t>fbc</w:t>
        </w:r>
        <w:r>
          <w:rPr>
            <w:color w:val="1155CC"/>
            <w:sz w:val="20"/>
            <w:szCs w:val="20"/>
            <w:u w:val="single"/>
          </w:rPr>
          <w:t>lid</w:t>
        </w:r>
        <w:r w:rsidRPr="009C4164">
          <w:rPr>
            <w:color w:val="1155CC"/>
            <w:sz w:val="20"/>
            <w:szCs w:val="20"/>
            <w:u w:val="single"/>
            <w:lang w:val="ru-RU"/>
          </w:rPr>
          <w:t>=</w:t>
        </w:r>
        <w:r>
          <w:rPr>
            <w:color w:val="1155CC"/>
            <w:sz w:val="20"/>
            <w:szCs w:val="20"/>
            <w:u w:val="single"/>
          </w:rPr>
          <w:t>IwAR</w:t>
        </w:r>
        <w:r w:rsidRPr="009C4164">
          <w:rPr>
            <w:color w:val="1155CC"/>
            <w:sz w:val="20"/>
            <w:szCs w:val="20"/>
            <w:u w:val="single"/>
            <w:lang w:val="ru-RU"/>
          </w:rPr>
          <w:t>3</w:t>
        </w:r>
        <w:r>
          <w:rPr>
            <w:color w:val="1155CC"/>
            <w:sz w:val="20"/>
            <w:szCs w:val="20"/>
            <w:u w:val="single"/>
          </w:rPr>
          <w:t>yspxEvuk</w:t>
        </w:r>
        <w:r w:rsidRPr="009C4164">
          <w:rPr>
            <w:color w:val="1155CC"/>
            <w:sz w:val="20"/>
            <w:szCs w:val="20"/>
            <w:u w:val="single"/>
            <w:lang w:val="ru-RU"/>
          </w:rPr>
          <w:t>2</w:t>
        </w:r>
        <w:r>
          <w:rPr>
            <w:color w:val="1155CC"/>
            <w:sz w:val="20"/>
            <w:szCs w:val="20"/>
            <w:u w:val="single"/>
          </w:rPr>
          <w:t>zu</w:t>
        </w:r>
        <w:r w:rsidRPr="009C4164">
          <w:rPr>
            <w:color w:val="1155CC"/>
            <w:sz w:val="20"/>
            <w:szCs w:val="20"/>
            <w:u w:val="single"/>
            <w:lang w:val="ru-RU"/>
          </w:rPr>
          <w:t>5</w:t>
        </w:r>
        <w:r>
          <w:rPr>
            <w:color w:val="1155CC"/>
            <w:sz w:val="20"/>
            <w:szCs w:val="20"/>
            <w:u w:val="single"/>
          </w:rPr>
          <w:t>c</w:t>
        </w:r>
        <w:r w:rsidRPr="009C4164">
          <w:rPr>
            <w:color w:val="1155CC"/>
            <w:sz w:val="20"/>
            <w:szCs w:val="20"/>
            <w:u w:val="single"/>
            <w:lang w:val="ru-RU"/>
          </w:rPr>
          <w:t>-</w:t>
        </w:r>
        <w:r>
          <w:rPr>
            <w:color w:val="1155CC"/>
            <w:sz w:val="20"/>
            <w:szCs w:val="20"/>
            <w:u w:val="single"/>
          </w:rPr>
          <w:t>frYZSzirv</w:t>
        </w:r>
        <w:r w:rsidRPr="009C4164">
          <w:rPr>
            <w:color w:val="1155CC"/>
            <w:sz w:val="20"/>
            <w:szCs w:val="20"/>
            <w:u w:val="single"/>
            <w:lang w:val="ru-RU"/>
          </w:rPr>
          <w:t>8</w:t>
        </w:r>
        <w:r>
          <w:rPr>
            <w:color w:val="1155CC"/>
            <w:sz w:val="20"/>
            <w:szCs w:val="20"/>
            <w:u w:val="single"/>
          </w:rPr>
          <w:t>C</w:t>
        </w:r>
        <w:r w:rsidRPr="009C4164">
          <w:rPr>
            <w:color w:val="1155CC"/>
            <w:sz w:val="20"/>
            <w:szCs w:val="20"/>
            <w:u w:val="single"/>
            <w:lang w:val="ru-RU"/>
          </w:rPr>
          <w:t>6</w:t>
        </w:r>
        <w:r>
          <w:rPr>
            <w:color w:val="1155CC"/>
            <w:sz w:val="20"/>
            <w:szCs w:val="20"/>
            <w:u w:val="single"/>
          </w:rPr>
          <w:t>z</w:t>
        </w:r>
        <w:r w:rsidRPr="009C4164">
          <w:rPr>
            <w:color w:val="1155CC"/>
            <w:sz w:val="20"/>
            <w:szCs w:val="20"/>
            <w:u w:val="single"/>
            <w:lang w:val="ru-RU"/>
          </w:rPr>
          <w:t>_</w:t>
        </w:r>
        <w:r>
          <w:rPr>
            <w:color w:val="1155CC"/>
            <w:sz w:val="20"/>
            <w:szCs w:val="20"/>
            <w:u w:val="single"/>
          </w:rPr>
          <w:t>GTDs</w:t>
        </w:r>
        <w:r w:rsidRPr="009C4164">
          <w:rPr>
            <w:color w:val="1155CC"/>
            <w:sz w:val="20"/>
            <w:szCs w:val="20"/>
            <w:u w:val="single"/>
            <w:lang w:val="ru-RU"/>
          </w:rPr>
          <w:t>1</w:t>
        </w:r>
        <w:r>
          <w:rPr>
            <w:color w:val="1155CC"/>
            <w:sz w:val="20"/>
            <w:szCs w:val="20"/>
            <w:u w:val="single"/>
          </w:rPr>
          <w:t>P</w:t>
        </w:r>
        <w:r w:rsidRPr="009C4164">
          <w:rPr>
            <w:color w:val="1155CC"/>
            <w:sz w:val="20"/>
            <w:szCs w:val="20"/>
            <w:u w:val="single"/>
            <w:lang w:val="ru-RU"/>
          </w:rPr>
          <w:t>3</w:t>
        </w:r>
        <w:r>
          <w:rPr>
            <w:color w:val="1155CC"/>
            <w:sz w:val="20"/>
            <w:szCs w:val="20"/>
            <w:u w:val="single"/>
          </w:rPr>
          <w:t>KbBRv</w:t>
        </w:r>
        <w:r w:rsidRPr="009C4164">
          <w:rPr>
            <w:color w:val="1155CC"/>
            <w:sz w:val="20"/>
            <w:szCs w:val="20"/>
            <w:u w:val="single"/>
            <w:lang w:val="ru-RU"/>
          </w:rPr>
          <w:t>0</w:t>
        </w:r>
        <w:r>
          <w:rPr>
            <w:color w:val="1155CC"/>
            <w:sz w:val="20"/>
            <w:szCs w:val="20"/>
            <w:u w:val="single"/>
          </w:rPr>
          <w:t>WVks</w:t>
        </w:r>
        <w:r w:rsidRPr="009C4164">
          <w:rPr>
            <w:color w:val="1155CC"/>
            <w:sz w:val="20"/>
            <w:szCs w:val="20"/>
            <w:u w:val="single"/>
            <w:lang w:val="ru-RU"/>
          </w:rPr>
          <w:t>8</w:t>
        </w:r>
        <w:r>
          <w:rPr>
            <w:color w:val="1155CC"/>
            <w:sz w:val="20"/>
            <w:szCs w:val="20"/>
            <w:u w:val="single"/>
          </w:rPr>
          <w:t>Ukye</w:t>
        </w:r>
        <w:r w:rsidRPr="009C4164">
          <w:rPr>
            <w:color w:val="1155CC"/>
            <w:sz w:val="20"/>
            <w:szCs w:val="20"/>
            <w:u w:val="single"/>
            <w:lang w:val="ru-RU"/>
          </w:rPr>
          <w:t>762</w:t>
        </w:r>
        <w:r>
          <w:rPr>
            <w:color w:val="1155CC"/>
            <w:sz w:val="20"/>
            <w:szCs w:val="20"/>
            <w:u w:val="single"/>
          </w:rPr>
          <w:t>KVw</w:t>
        </w:r>
      </w:hyperlink>
      <w:r w:rsidRPr="009C4164">
        <w:rPr>
          <w:sz w:val="20"/>
          <w:szCs w:val="20"/>
          <w:lang w:val="ru-RU"/>
        </w:rPr>
        <w:t xml:space="preserve"> </w:t>
      </w:r>
    </w:p>
    <w:p w:rsidR="00BA7A83" w:rsidRPr="009C4164" w:rsidRDefault="00BA7A83">
      <w:pPr>
        <w:rPr>
          <w:sz w:val="20"/>
          <w:szCs w:val="20"/>
          <w:lang w:val="ru-RU"/>
        </w:rPr>
      </w:pPr>
    </w:p>
    <w:p w:rsidR="00BA7A83" w:rsidRPr="009C4164" w:rsidRDefault="009C4164">
      <w:pPr>
        <w:rPr>
          <w:sz w:val="20"/>
          <w:szCs w:val="20"/>
          <w:lang w:val="ru-RU"/>
        </w:rPr>
      </w:pPr>
      <w:r w:rsidRPr="009C4164">
        <w:rPr>
          <w:sz w:val="20"/>
          <w:szCs w:val="20"/>
          <w:lang w:val="ru-RU"/>
        </w:rPr>
        <w:t xml:space="preserve">Институт Проблем правоприменения. </w:t>
      </w:r>
      <w:r w:rsidRPr="009C4164">
        <w:rPr>
          <w:i/>
          <w:sz w:val="20"/>
          <w:szCs w:val="20"/>
          <w:lang w:val="ru-RU"/>
        </w:rPr>
        <w:t xml:space="preserve">“Кирилл Титаев на </w:t>
      </w:r>
      <w:r>
        <w:rPr>
          <w:i/>
          <w:sz w:val="20"/>
          <w:szCs w:val="20"/>
        </w:rPr>
        <w:t>The</w:t>
      </w:r>
      <w:r w:rsidRPr="009C4164">
        <w:rPr>
          <w:i/>
          <w:sz w:val="20"/>
          <w:szCs w:val="20"/>
          <w:lang w:val="ru-RU"/>
        </w:rPr>
        <w:t xml:space="preserve"> </w:t>
      </w:r>
      <w:r>
        <w:rPr>
          <w:i/>
          <w:sz w:val="20"/>
          <w:szCs w:val="20"/>
        </w:rPr>
        <w:t>Village</w:t>
      </w:r>
      <w:r w:rsidRPr="009C4164">
        <w:rPr>
          <w:i/>
          <w:sz w:val="20"/>
          <w:szCs w:val="20"/>
          <w:lang w:val="ru-RU"/>
        </w:rPr>
        <w:t xml:space="preserve"> "о том, почему судьями в России чаще всего становятся женщины". </w:t>
      </w:r>
      <w:r w:rsidRPr="009C4164">
        <w:rPr>
          <w:sz w:val="20"/>
          <w:szCs w:val="20"/>
          <w:lang w:val="ru-RU"/>
        </w:rPr>
        <w:t xml:space="preserve">Институт Проблем правоприменения. </w:t>
      </w:r>
      <w:hyperlink r:id="rId13">
        <w:r>
          <w:rPr>
            <w:color w:val="1155CC"/>
            <w:sz w:val="20"/>
            <w:szCs w:val="20"/>
            <w:u w:val="single"/>
          </w:rPr>
          <w:t>https</w:t>
        </w:r>
        <w:r w:rsidRPr="009C4164">
          <w:rPr>
            <w:color w:val="1155CC"/>
            <w:sz w:val="20"/>
            <w:szCs w:val="20"/>
            <w:u w:val="single"/>
            <w:lang w:val="ru-RU"/>
          </w:rPr>
          <w:t>://</w:t>
        </w:r>
        <w:r>
          <w:rPr>
            <w:color w:val="1155CC"/>
            <w:sz w:val="20"/>
            <w:szCs w:val="20"/>
            <w:u w:val="single"/>
          </w:rPr>
          <w:t>enforce</w:t>
        </w:r>
        <w:r w:rsidRPr="009C4164">
          <w:rPr>
            <w:color w:val="1155CC"/>
            <w:sz w:val="20"/>
            <w:szCs w:val="20"/>
            <w:u w:val="single"/>
            <w:lang w:val="ru-RU"/>
          </w:rPr>
          <w:t>.</w:t>
        </w:r>
        <w:r>
          <w:rPr>
            <w:color w:val="1155CC"/>
            <w:sz w:val="20"/>
            <w:szCs w:val="20"/>
            <w:u w:val="single"/>
          </w:rPr>
          <w:t>spb</w:t>
        </w:r>
        <w:r w:rsidRPr="009C4164">
          <w:rPr>
            <w:color w:val="1155CC"/>
            <w:sz w:val="20"/>
            <w:szCs w:val="20"/>
            <w:u w:val="single"/>
            <w:lang w:val="ru-RU"/>
          </w:rPr>
          <w:t>.</w:t>
        </w:r>
        <w:r>
          <w:rPr>
            <w:color w:val="1155CC"/>
            <w:sz w:val="20"/>
            <w:szCs w:val="20"/>
            <w:u w:val="single"/>
          </w:rPr>
          <w:t>ru</w:t>
        </w:r>
        <w:r w:rsidRPr="009C4164">
          <w:rPr>
            <w:color w:val="1155CC"/>
            <w:sz w:val="20"/>
            <w:szCs w:val="20"/>
            <w:u w:val="single"/>
            <w:lang w:val="ru-RU"/>
          </w:rPr>
          <w:t>/</w:t>
        </w:r>
        <w:r>
          <w:rPr>
            <w:color w:val="1155CC"/>
            <w:sz w:val="20"/>
            <w:szCs w:val="20"/>
            <w:u w:val="single"/>
          </w:rPr>
          <w:t>chronicle</w:t>
        </w:r>
        <w:r w:rsidRPr="009C4164">
          <w:rPr>
            <w:color w:val="1155CC"/>
            <w:sz w:val="20"/>
            <w:szCs w:val="20"/>
            <w:u w:val="single"/>
            <w:lang w:val="ru-RU"/>
          </w:rPr>
          <w:t>/</w:t>
        </w:r>
        <w:r>
          <w:rPr>
            <w:color w:val="1155CC"/>
            <w:sz w:val="20"/>
            <w:szCs w:val="20"/>
            <w:u w:val="single"/>
          </w:rPr>
          <w:t>comments</w:t>
        </w:r>
        <w:r w:rsidRPr="009C4164">
          <w:rPr>
            <w:color w:val="1155CC"/>
            <w:sz w:val="20"/>
            <w:szCs w:val="20"/>
            <w:u w:val="single"/>
            <w:lang w:val="ru-RU"/>
          </w:rPr>
          <w:t>-</w:t>
        </w:r>
        <w:r>
          <w:rPr>
            <w:color w:val="1155CC"/>
            <w:sz w:val="20"/>
            <w:szCs w:val="20"/>
            <w:u w:val="single"/>
          </w:rPr>
          <w:t>in</w:t>
        </w:r>
        <w:r w:rsidRPr="009C4164">
          <w:rPr>
            <w:color w:val="1155CC"/>
            <w:sz w:val="20"/>
            <w:szCs w:val="20"/>
            <w:u w:val="single"/>
            <w:lang w:val="ru-RU"/>
          </w:rPr>
          <w:t>-</w:t>
        </w:r>
        <w:r>
          <w:rPr>
            <w:color w:val="1155CC"/>
            <w:sz w:val="20"/>
            <w:szCs w:val="20"/>
            <w:u w:val="single"/>
          </w:rPr>
          <w:t>the</w:t>
        </w:r>
        <w:r w:rsidRPr="009C4164">
          <w:rPr>
            <w:color w:val="1155CC"/>
            <w:sz w:val="20"/>
            <w:szCs w:val="20"/>
            <w:u w:val="single"/>
            <w:lang w:val="ru-RU"/>
          </w:rPr>
          <w:t>-</w:t>
        </w:r>
        <w:r>
          <w:rPr>
            <w:color w:val="1155CC"/>
            <w:sz w:val="20"/>
            <w:szCs w:val="20"/>
            <w:u w:val="single"/>
          </w:rPr>
          <w:t>media</w:t>
        </w:r>
        <w:r w:rsidRPr="009C4164">
          <w:rPr>
            <w:color w:val="1155CC"/>
            <w:sz w:val="20"/>
            <w:szCs w:val="20"/>
            <w:u w:val="single"/>
            <w:lang w:val="ru-RU"/>
          </w:rPr>
          <w:t>/6745-</w:t>
        </w:r>
        <w:r>
          <w:rPr>
            <w:color w:val="1155CC"/>
            <w:sz w:val="20"/>
            <w:szCs w:val="20"/>
            <w:u w:val="single"/>
          </w:rPr>
          <w:t>the</w:t>
        </w:r>
        <w:r w:rsidRPr="009C4164">
          <w:rPr>
            <w:color w:val="1155CC"/>
            <w:sz w:val="20"/>
            <w:szCs w:val="20"/>
            <w:u w:val="single"/>
            <w:lang w:val="ru-RU"/>
          </w:rPr>
          <w:t>-</w:t>
        </w:r>
        <w:r>
          <w:rPr>
            <w:color w:val="1155CC"/>
            <w:sz w:val="20"/>
            <w:szCs w:val="20"/>
            <w:u w:val="single"/>
          </w:rPr>
          <w:t>village</w:t>
        </w:r>
      </w:hyperlink>
      <w:r w:rsidRPr="009C4164">
        <w:rPr>
          <w:sz w:val="20"/>
          <w:szCs w:val="20"/>
          <w:lang w:val="ru-RU"/>
        </w:rPr>
        <w:t xml:space="preserve"> </w:t>
      </w:r>
    </w:p>
    <w:p w:rsidR="00BA7A83" w:rsidRPr="009C4164" w:rsidRDefault="00BA7A83">
      <w:pPr>
        <w:rPr>
          <w:sz w:val="20"/>
          <w:szCs w:val="20"/>
          <w:lang w:val="ru-RU"/>
        </w:rPr>
      </w:pPr>
    </w:p>
    <w:p w:rsidR="00BA7A83" w:rsidRDefault="009C4164">
      <w:pPr>
        <w:rPr>
          <w:sz w:val="20"/>
          <w:szCs w:val="20"/>
        </w:rPr>
      </w:pPr>
      <w:r w:rsidRPr="009C4164">
        <w:rPr>
          <w:sz w:val="20"/>
          <w:szCs w:val="20"/>
          <w:lang w:val="ru-RU"/>
        </w:rPr>
        <w:t xml:space="preserve">Мірошник, Ольга. </w:t>
      </w:r>
      <w:r w:rsidRPr="009C4164">
        <w:rPr>
          <w:i/>
          <w:sz w:val="20"/>
          <w:szCs w:val="20"/>
          <w:lang w:val="ru-RU"/>
        </w:rPr>
        <w:t>“Права та можливості жінок, зайнятих у сфері безпеки</w:t>
      </w:r>
      <w:r w:rsidRPr="009C4164">
        <w:rPr>
          <w:sz w:val="20"/>
          <w:szCs w:val="20"/>
          <w:lang w:val="ru-RU"/>
        </w:rPr>
        <w:t xml:space="preserve">”. </w:t>
      </w:r>
      <w:proofErr w:type="gramStart"/>
      <w:r>
        <w:rPr>
          <w:color w:val="222328"/>
          <w:sz w:val="21"/>
          <w:szCs w:val="21"/>
          <w:highlight w:val="white"/>
        </w:rPr>
        <w:t>UPLAN</w:t>
      </w:r>
      <w:r>
        <w:rPr>
          <w:i/>
          <w:color w:val="222328"/>
          <w:sz w:val="21"/>
          <w:szCs w:val="21"/>
          <w:highlight w:val="white"/>
        </w:rPr>
        <w:t>.</w:t>
      </w:r>
      <w:proofErr w:type="gramEnd"/>
      <w:r>
        <w:rPr>
          <w:i/>
          <w:color w:val="222328"/>
          <w:sz w:val="21"/>
          <w:szCs w:val="21"/>
          <w:highlight w:val="white"/>
        </w:rPr>
        <w:t xml:space="preserve"> </w:t>
      </w:r>
      <w:hyperlink r:id="rId14">
        <w:r>
          <w:rPr>
            <w:color w:val="1155CC"/>
            <w:sz w:val="20"/>
            <w:szCs w:val="20"/>
            <w:u w:val="single"/>
          </w:rPr>
          <w:t>https://uplan.org.ua/analytics/prava-ta-mozhlyvosti-zhinok-zainiatykh-u-sferi-bezpeky/</w:t>
        </w:r>
      </w:hyperlink>
      <w:r>
        <w:rPr>
          <w:sz w:val="20"/>
          <w:szCs w:val="20"/>
        </w:rPr>
        <w:t xml:space="preserve"> </w:t>
      </w:r>
    </w:p>
    <w:p w:rsidR="00BA7A83" w:rsidRDefault="00BA7A83">
      <w:pPr>
        <w:rPr>
          <w:sz w:val="20"/>
          <w:szCs w:val="20"/>
        </w:rPr>
      </w:pPr>
    </w:p>
    <w:p w:rsidR="00BA7A83" w:rsidRPr="009C4164" w:rsidRDefault="009C4164">
      <w:pPr>
        <w:rPr>
          <w:sz w:val="20"/>
          <w:szCs w:val="20"/>
          <w:lang w:val="ru-RU"/>
        </w:rPr>
      </w:pPr>
      <w:r w:rsidRPr="009C4164">
        <w:rPr>
          <w:sz w:val="20"/>
          <w:szCs w:val="20"/>
          <w:lang w:val="ru-RU"/>
        </w:rPr>
        <w:t xml:space="preserve">Петракова, А. </w:t>
      </w:r>
      <w:r w:rsidRPr="009C4164">
        <w:rPr>
          <w:i/>
          <w:sz w:val="20"/>
          <w:szCs w:val="20"/>
          <w:lang w:val="ru-RU"/>
        </w:rPr>
        <w:t>“</w:t>
      </w:r>
      <w:proofErr w:type="gramStart"/>
      <w:r w:rsidRPr="009C4164">
        <w:rPr>
          <w:i/>
          <w:sz w:val="20"/>
          <w:szCs w:val="20"/>
          <w:lang w:val="ru-RU"/>
        </w:rPr>
        <w:t>Доц</w:t>
      </w:r>
      <w:proofErr w:type="gramEnd"/>
      <w:r w:rsidRPr="009C4164">
        <w:rPr>
          <w:i/>
          <w:sz w:val="20"/>
          <w:szCs w:val="20"/>
          <w:lang w:val="ru-RU"/>
        </w:rPr>
        <w:t>ільність застосування покарання у вигляді довічного позба</w:t>
      </w:r>
      <w:r w:rsidRPr="009C4164">
        <w:rPr>
          <w:i/>
          <w:sz w:val="20"/>
          <w:szCs w:val="20"/>
          <w:lang w:val="ru-RU"/>
        </w:rPr>
        <w:t xml:space="preserve">влення волі до жінок”. </w:t>
      </w:r>
      <w:r w:rsidRPr="009C4164">
        <w:rPr>
          <w:sz w:val="20"/>
          <w:szCs w:val="20"/>
          <w:lang w:val="ru-RU"/>
        </w:rPr>
        <w:t>Юридичний науковий електронний журнал №2. (2019): 224-226.</w:t>
      </w:r>
    </w:p>
    <w:p w:rsidR="00BA7A83" w:rsidRPr="009C4164" w:rsidRDefault="00BA7A83">
      <w:pPr>
        <w:rPr>
          <w:sz w:val="20"/>
          <w:szCs w:val="20"/>
          <w:lang w:val="ru-RU"/>
        </w:rPr>
      </w:pPr>
    </w:p>
    <w:p w:rsidR="00BA7A83" w:rsidRPr="009C4164" w:rsidRDefault="009C4164">
      <w:pPr>
        <w:rPr>
          <w:sz w:val="20"/>
          <w:szCs w:val="20"/>
          <w:lang w:val="ru-RU"/>
        </w:rPr>
      </w:pPr>
      <w:r w:rsidRPr="009C4164">
        <w:rPr>
          <w:sz w:val="20"/>
          <w:szCs w:val="20"/>
          <w:highlight w:val="white"/>
          <w:lang w:val="ru-RU"/>
        </w:rPr>
        <w:t>Сазонова</w:t>
      </w:r>
      <w:proofErr w:type="gramStart"/>
      <w:r w:rsidRPr="009C4164">
        <w:rPr>
          <w:sz w:val="20"/>
          <w:szCs w:val="20"/>
          <w:highlight w:val="white"/>
          <w:lang w:val="ru-RU"/>
        </w:rPr>
        <w:t xml:space="preserve"> ,</w:t>
      </w:r>
      <w:proofErr w:type="gramEnd"/>
      <w:r w:rsidRPr="009C4164">
        <w:rPr>
          <w:sz w:val="20"/>
          <w:szCs w:val="20"/>
          <w:highlight w:val="white"/>
          <w:lang w:val="ru-RU"/>
        </w:rPr>
        <w:t>Я. та Салюк, Т. “</w:t>
      </w:r>
      <w:r w:rsidRPr="009C4164">
        <w:rPr>
          <w:i/>
          <w:sz w:val="20"/>
          <w:szCs w:val="20"/>
          <w:highlight w:val="white"/>
          <w:lang w:val="ru-RU"/>
        </w:rPr>
        <w:t>Основні результати біоповедінкових досліджень серед ключових груп</w:t>
      </w:r>
      <w:r w:rsidRPr="009C4164">
        <w:rPr>
          <w:sz w:val="20"/>
          <w:szCs w:val="20"/>
          <w:highlight w:val="white"/>
          <w:lang w:val="ru-RU"/>
        </w:rPr>
        <w:t xml:space="preserve">”. МБФ «Альянс громадського здоров’я». (2018). </w:t>
      </w:r>
      <w:hyperlink r:id="rId15">
        <w:r>
          <w:rPr>
            <w:color w:val="3A6D99"/>
            <w:sz w:val="20"/>
            <w:szCs w:val="20"/>
            <w:highlight w:val="white"/>
          </w:rPr>
          <w:t>http</w:t>
        </w:r>
        <w:r w:rsidRPr="009C4164">
          <w:rPr>
            <w:color w:val="3A6D99"/>
            <w:sz w:val="20"/>
            <w:szCs w:val="20"/>
            <w:highlight w:val="white"/>
            <w:lang w:val="ru-RU"/>
          </w:rPr>
          <w:t>://</w:t>
        </w:r>
        <w:r>
          <w:rPr>
            <w:color w:val="3A6D99"/>
            <w:sz w:val="20"/>
            <w:szCs w:val="20"/>
            <w:highlight w:val="white"/>
          </w:rPr>
          <w:t>aph</w:t>
        </w:r>
        <w:r w:rsidRPr="009C4164">
          <w:rPr>
            <w:color w:val="3A6D99"/>
            <w:sz w:val="20"/>
            <w:szCs w:val="20"/>
            <w:highlight w:val="white"/>
            <w:lang w:val="ru-RU"/>
          </w:rPr>
          <w:t>.</w:t>
        </w:r>
        <w:r>
          <w:rPr>
            <w:color w:val="3A6D99"/>
            <w:sz w:val="20"/>
            <w:szCs w:val="20"/>
            <w:highlight w:val="white"/>
          </w:rPr>
          <w:t>org</w:t>
        </w:r>
        <w:r w:rsidRPr="009C4164">
          <w:rPr>
            <w:color w:val="3A6D99"/>
            <w:sz w:val="20"/>
            <w:szCs w:val="20"/>
            <w:highlight w:val="white"/>
            <w:lang w:val="ru-RU"/>
          </w:rPr>
          <w:t>.</w:t>
        </w:r>
        <w:r>
          <w:rPr>
            <w:color w:val="3A6D99"/>
            <w:sz w:val="20"/>
            <w:szCs w:val="20"/>
            <w:highlight w:val="white"/>
          </w:rPr>
          <w:t>ua</w:t>
        </w:r>
        <w:r w:rsidRPr="009C4164">
          <w:rPr>
            <w:color w:val="3A6D99"/>
            <w:sz w:val="20"/>
            <w:szCs w:val="20"/>
            <w:highlight w:val="white"/>
            <w:lang w:val="ru-RU"/>
          </w:rPr>
          <w:t>/</w:t>
        </w:r>
        <w:r>
          <w:rPr>
            <w:color w:val="3A6D99"/>
            <w:sz w:val="20"/>
            <w:szCs w:val="20"/>
            <w:highlight w:val="white"/>
          </w:rPr>
          <w:t>wp</w:t>
        </w:r>
        <w:r w:rsidRPr="009C4164">
          <w:rPr>
            <w:color w:val="3A6D99"/>
            <w:sz w:val="20"/>
            <w:szCs w:val="20"/>
            <w:highlight w:val="white"/>
            <w:lang w:val="ru-RU"/>
          </w:rPr>
          <w:t>-</w:t>
        </w:r>
        <w:r>
          <w:rPr>
            <w:color w:val="3A6D99"/>
            <w:sz w:val="20"/>
            <w:szCs w:val="20"/>
            <w:highlight w:val="white"/>
          </w:rPr>
          <w:t>content</w:t>
        </w:r>
        <w:r w:rsidRPr="009C4164">
          <w:rPr>
            <w:color w:val="3A6D99"/>
            <w:sz w:val="20"/>
            <w:szCs w:val="20"/>
            <w:highlight w:val="white"/>
            <w:lang w:val="ru-RU"/>
          </w:rPr>
          <w:t>/</w:t>
        </w:r>
        <w:r>
          <w:rPr>
            <w:color w:val="3A6D99"/>
            <w:sz w:val="20"/>
            <w:szCs w:val="20"/>
            <w:highlight w:val="white"/>
          </w:rPr>
          <w:t>uploads</w:t>
        </w:r>
        <w:r w:rsidRPr="009C4164">
          <w:rPr>
            <w:color w:val="3A6D99"/>
            <w:sz w:val="20"/>
            <w:szCs w:val="20"/>
            <w:highlight w:val="white"/>
            <w:lang w:val="ru-RU"/>
          </w:rPr>
          <w:t>/2018/07/</w:t>
        </w:r>
        <w:r>
          <w:rPr>
            <w:color w:val="3A6D99"/>
            <w:sz w:val="20"/>
            <w:szCs w:val="20"/>
            <w:highlight w:val="white"/>
          </w:rPr>
          <w:t>OSNOVNI</w:t>
        </w:r>
        <w:r w:rsidRPr="009C4164">
          <w:rPr>
            <w:color w:val="3A6D99"/>
            <w:sz w:val="20"/>
            <w:szCs w:val="20"/>
            <w:highlight w:val="white"/>
            <w:lang w:val="ru-RU"/>
          </w:rPr>
          <w:t>-</w:t>
        </w:r>
        <w:r>
          <w:rPr>
            <w:color w:val="3A6D99"/>
            <w:sz w:val="20"/>
            <w:szCs w:val="20"/>
            <w:highlight w:val="white"/>
          </w:rPr>
          <w:t>REZULTATI</w:t>
        </w:r>
        <w:r w:rsidRPr="009C4164">
          <w:rPr>
            <w:color w:val="3A6D99"/>
            <w:sz w:val="20"/>
            <w:szCs w:val="20"/>
            <w:highlight w:val="white"/>
            <w:lang w:val="ru-RU"/>
          </w:rPr>
          <w:t>__</w:t>
        </w:r>
        <w:r>
          <w:rPr>
            <w:color w:val="3A6D99"/>
            <w:sz w:val="20"/>
            <w:szCs w:val="20"/>
            <w:highlight w:val="white"/>
          </w:rPr>
          <w:t>A</w:t>
        </w:r>
        <w:r w:rsidRPr="009C4164">
          <w:rPr>
            <w:color w:val="3A6D99"/>
            <w:sz w:val="20"/>
            <w:szCs w:val="20"/>
            <w:highlight w:val="white"/>
            <w:lang w:val="ru-RU"/>
          </w:rPr>
          <w:t>4__03.02.2020__</w:t>
        </w:r>
        <w:r>
          <w:rPr>
            <w:color w:val="3A6D99"/>
            <w:sz w:val="20"/>
            <w:szCs w:val="20"/>
            <w:highlight w:val="white"/>
          </w:rPr>
          <w:t>Cajt</w:t>
        </w:r>
        <w:r w:rsidRPr="009C4164">
          <w:rPr>
            <w:color w:val="3A6D99"/>
            <w:sz w:val="20"/>
            <w:szCs w:val="20"/>
            <w:highlight w:val="white"/>
            <w:lang w:val="ru-RU"/>
          </w:rPr>
          <w:t>.</w:t>
        </w:r>
        <w:r>
          <w:rPr>
            <w:color w:val="3A6D99"/>
            <w:sz w:val="20"/>
            <w:szCs w:val="20"/>
            <w:highlight w:val="white"/>
          </w:rPr>
          <w:t>pdf</w:t>
        </w:r>
      </w:hyperlink>
    </w:p>
    <w:p w:rsidR="00BA7A83" w:rsidRPr="009C4164" w:rsidRDefault="00BA7A83">
      <w:pPr>
        <w:rPr>
          <w:sz w:val="20"/>
          <w:szCs w:val="20"/>
          <w:lang w:val="ru-RU"/>
        </w:rPr>
      </w:pPr>
    </w:p>
    <w:p w:rsidR="00BA7A83" w:rsidRPr="009C4164" w:rsidRDefault="009C4164">
      <w:pPr>
        <w:rPr>
          <w:sz w:val="20"/>
          <w:szCs w:val="20"/>
          <w:highlight w:val="white"/>
          <w:lang w:val="ru-RU"/>
        </w:rPr>
      </w:pPr>
      <w:r w:rsidRPr="009C4164">
        <w:rPr>
          <w:sz w:val="20"/>
          <w:szCs w:val="20"/>
          <w:highlight w:val="white"/>
          <w:lang w:val="ru-RU"/>
        </w:rPr>
        <w:t xml:space="preserve">Середа, Ю., Новак, Ю., Сазонова, Я. </w:t>
      </w:r>
      <w:r w:rsidRPr="009C4164">
        <w:rPr>
          <w:i/>
          <w:sz w:val="20"/>
          <w:szCs w:val="20"/>
          <w:highlight w:val="white"/>
          <w:lang w:val="ru-RU"/>
        </w:rPr>
        <w:t>“Звіт за результатами біоповедінкового дослідження серед</w:t>
      </w:r>
      <w:r w:rsidRPr="009C4164">
        <w:rPr>
          <w:i/>
          <w:sz w:val="20"/>
          <w:szCs w:val="20"/>
          <w:highlight w:val="white"/>
          <w:lang w:val="ru-RU"/>
        </w:rPr>
        <w:t xml:space="preserve"> секс-працівників </w:t>
      </w:r>
      <w:proofErr w:type="gramStart"/>
      <w:r w:rsidRPr="009C4164">
        <w:rPr>
          <w:i/>
          <w:sz w:val="20"/>
          <w:szCs w:val="20"/>
          <w:highlight w:val="white"/>
          <w:lang w:val="ru-RU"/>
        </w:rPr>
        <w:t>в</w:t>
      </w:r>
      <w:proofErr w:type="gramEnd"/>
      <w:r w:rsidRPr="009C4164">
        <w:rPr>
          <w:i/>
          <w:sz w:val="20"/>
          <w:szCs w:val="20"/>
          <w:highlight w:val="white"/>
          <w:lang w:val="ru-RU"/>
        </w:rPr>
        <w:t xml:space="preserve"> Україні”</w:t>
      </w:r>
      <w:r w:rsidRPr="009C4164">
        <w:rPr>
          <w:sz w:val="20"/>
          <w:szCs w:val="20"/>
          <w:highlight w:val="white"/>
          <w:lang w:val="ru-RU"/>
        </w:rPr>
        <w:t xml:space="preserve">. МБФ «Альянс громадського здоров’я». (2019): 130. </w:t>
      </w:r>
      <w:hyperlink r:id="rId16">
        <w:r>
          <w:rPr>
            <w:color w:val="3A6D99"/>
            <w:sz w:val="20"/>
            <w:szCs w:val="20"/>
            <w:highlight w:val="white"/>
            <w:u w:val="single"/>
          </w:rPr>
          <w:t>http</w:t>
        </w:r>
        <w:r w:rsidRPr="009C4164">
          <w:rPr>
            <w:color w:val="3A6D99"/>
            <w:sz w:val="20"/>
            <w:szCs w:val="20"/>
            <w:highlight w:val="white"/>
            <w:u w:val="single"/>
            <w:lang w:val="ru-RU"/>
          </w:rPr>
          <w:t>://</w:t>
        </w:r>
        <w:r>
          <w:rPr>
            <w:color w:val="3A6D99"/>
            <w:sz w:val="20"/>
            <w:szCs w:val="20"/>
            <w:highlight w:val="white"/>
            <w:u w:val="single"/>
          </w:rPr>
          <w:t>aph</w:t>
        </w:r>
        <w:r w:rsidRPr="009C4164">
          <w:rPr>
            <w:color w:val="3A6D99"/>
            <w:sz w:val="20"/>
            <w:szCs w:val="20"/>
            <w:highlight w:val="white"/>
            <w:u w:val="single"/>
            <w:lang w:val="ru-RU"/>
          </w:rPr>
          <w:t>.</w:t>
        </w:r>
        <w:r>
          <w:rPr>
            <w:color w:val="3A6D99"/>
            <w:sz w:val="20"/>
            <w:szCs w:val="20"/>
            <w:highlight w:val="white"/>
            <w:u w:val="single"/>
          </w:rPr>
          <w:t>org</w:t>
        </w:r>
        <w:r w:rsidRPr="009C4164">
          <w:rPr>
            <w:color w:val="3A6D99"/>
            <w:sz w:val="20"/>
            <w:szCs w:val="20"/>
            <w:highlight w:val="white"/>
            <w:u w:val="single"/>
            <w:lang w:val="ru-RU"/>
          </w:rPr>
          <w:t>.</w:t>
        </w:r>
        <w:r>
          <w:rPr>
            <w:color w:val="3A6D99"/>
            <w:sz w:val="20"/>
            <w:szCs w:val="20"/>
            <w:highlight w:val="white"/>
            <w:u w:val="single"/>
          </w:rPr>
          <w:t>ua</w:t>
        </w:r>
        <w:r w:rsidRPr="009C4164">
          <w:rPr>
            <w:color w:val="3A6D99"/>
            <w:sz w:val="20"/>
            <w:szCs w:val="20"/>
            <w:highlight w:val="white"/>
            <w:u w:val="single"/>
            <w:lang w:val="ru-RU"/>
          </w:rPr>
          <w:t>/</w:t>
        </w:r>
        <w:r>
          <w:rPr>
            <w:color w:val="3A6D99"/>
            <w:sz w:val="20"/>
            <w:szCs w:val="20"/>
            <w:highlight w:val="white"/>
            <w:u w:val="single"/>
          </w:rPr>
          <w:t>wp</w:t>
        </w:r>
        <w:r w:rsidRPr="009C4164">
          <w:rPr>
            <w:color w:val="3A6D99"/>
            <w:sz w:val="20"/>
            <w:szCs w:val="20"/>
            <w:highlight w:val="white"/>
            <w:u w:val="single"/>
            <w:lang w:val="ru-RU"/>
          </w:rPr>
          <w:t>-</w:t>
        </w:r>
        <w:r>
          <w:rPr>
            <w:color w:val="3A6D99"/>
            <w:sz w:val="20"/>
            <w:szCs w:val="20"/>
            <w:highlight w:val="white"/>
            <w:u w:val="single"/>
          </w:rPr>
          <w:t>content</w:t>
        </w:r>
        <w:r w:rsidRPr="009C4164">
          <w:rPr>
            <w:color w:val="3A6D99"/>
            <w:sz w:val="20"/>
            <w:szCs w:val="20"/>
            <w:highlight w:val="white"/>
            <w:u w:val="single"/>
            <w:lang w:val="ru-RU"/>
          </w:rPr>
          <w:t>/</w:t>
        </w:r>
        <w:r>
          <w:rPr>
            <w:color w:val="3A6D99"/>
            <w:sz w:val="20"/>
            <w:szCs w:val="20"/>
            <w:highlight w:val="white"/>
            <w:u w:val="single"/>
          </w:rPr>
          <w:t>uploads</w:t>
        </w:r>
        <w:r w:rsidRPr="009C4164">
          <w:rPr>
            <w:color w:val="3A6D99"/>
            <w:sz w:val="20"/>
            <w:szCs w:val="20"/>
            <w:highlight w:val="white"/>
            <w:u w:val="single"/>
            <w:lang w:val="ru-RU"/>
          </w:rPr>
          <w:t>/2019/06/</w:t>
        </w:r>
        <w:r>
          <w:rPr>
            <w:color w:val="3A6D99"/>
            <w:sz w:val="20"/>
            <w:szCs w:val="20"/>
            <w:highlight w:val="white"/>
            <w:u w:val="single"/>
          </w:rPr>
          <w:t>Otsinka</w:t>
        </w:r>
        <w:r w:rsidRPr="009C4164">
          <w:rPr>
            <w:color w:val="3A6D99"/>
            <w:sz w:val="20"/>
            <w:szCs w:val="20"/>
            <w:highlight w:val="white"/>
            <w:u w:val="single"/>
            <w:lang w:val="ru-RU"/>
          </w:rPr>
          <w:t>-</w:t>
        </w:r>
        <w:r>
          <w:rPr>
            <w:color w:val="3A6D99"/>
            <w:sz w:val="20"/>
            <w:szCs w:val="20"/>
            <w:highlight w:val="white"/>
            <w:u w:val="single"/>
          </w:rPr>
          <w:t>chiselnosti</w:t>
        </w:r>
        <w:r w:rsidRPr="009C4164">
          <w:rPr>
            <w:color w:val="3A6D99"/>
            <w:sz w:val="20"/>
            <w:szCs w:val="20"/>
            <w:highlight w:val="white"/>
            <w:u w:val="single"/>
            <w:lang w:val="ru-RU"/>
          </w:rPr>
          <w:t>_32200.</w:t>
        </w:r>
        <w:r>
          <w:rPr>
            <w:color w:val="3A6D99"/>
            <w:sz w:val="20"/>
            <w:szCs w:val="20"/>
            <w:highlight w:val="white"/>
            <w:u w:val="single"/>
          </w:rPr>
          <w:t>pdf</w:t>
        </w:r>
      </w:hyperlink>
      <w:r w:rsidRPr="009C4164">
        <w:rPr>
          <w:sz w:val="20"/>
          <w:szCs w:val="20"/>
          <w:highlight w:val="white"/>
          <w:lang w:val="ru-RU"/>
        </w:rPr>
        <w:t xml:space="preserve"> </w:t>
      </w:r>
    </w:p>
    <w:p w:rsidR="00BA7A83" w:rsidRPr="009C4164" w:rsidRDefault="00BA7A83">
      <w:pPr>
        <w:rPr>
          <w:sz w:val="20"/>
          <w:szCs w:val="20"/>
          <w:highlight w:val="white"/>
          <w:lang w:val="ru-RU"/>
        </w:rPr>
      </w:pPr>
    </w:p>
    <w:p w:rsidR="00BA7A83" w:rsidRPr="009C4164" w:rsidRDefault="009C4164">
      <w:pPr>
        <w:rPr>
          <w:sz w:val="20"/>
          <w:szCs w:val="20"/>
          <w:lang w:val="ru-RU"/>
        </w:rPr>
      </w:pPr>
      <w:r w:rsidRPr="009C4164">
        <w:rPr>
          <w:sz w:val="20"/>
          <w:szCs w:val="20"/>
          <w:lang w:val="ru-RU"/>
        </w:rPr>
        <w:t>Суслов</w:t>
      </w:r>
      <w:r w:rsidRPr="009C4164">
        <w:rPr>
          <w:sz w:val="20"/>
          <w:szCs w:val="20"/>
          <w:lang w:val="ru-RU"/>
        </w:rPr>
        <w:t>а, Олена. “</w:t>
      </w:r>
      <w:r w:rsidRPr="009C4164">
        <w:rPr>
          <w:i/>
          <w:sz w:val="20"/>
          <w:szCs w:val="20"/>
          <w:lang w:val="ru-RU"/>
        </w:rPr>
        <w:t xml:space="preserve">Ґендерна проблематика </w:t>
      </w:r>
      <w:proofErr w:type="gramStart"/>
      <w:r w:rsidRPr="009C4164">
        <w:rPr>
          <w:i/>
          <w:sz w:val="20"/>
          <w:szCs w:val="20"/>
          <w:lang w:val="ru-RU"/>
        </w:rPr>
        <w:t>в</w:t>
      </w:r>
      <w:proofErr w:type="gramEnd"/>
      <w:r w:rsidRPr="009C4164">
        <w:rPr>
          <w:i/>
          <w:sz w:val="20"/>
          <w:szCs w:val="20"/>
          <w:lang w:val="ru-RU"/>
        </w:rPr>
        <w:t xml:space="preserve"> пенітенціарній системі України й рекомендації щодо майбутніх стратегій”.</w:t>
      </w:r>
      <w:r w:rsidRPr="009C4164">
        <w:rPr>
          <w:sz w:val="20"/>
          <w:szCs w:val="20"/>
          <w:lang w:val="ru-RU"/>
        </w:rPr>
        <w:t xml:space="preserve"> 2004.</w:t>
      </w:r>
    </w:p>
    <w:p w:rsidR="00BA7A83" w:rsidRPr="009C4164" w:rsidRDefault="00BA7A83">
      <w:pPr>
        <w:rPr>
          <w:sz w:val="20"/>
          <w:szCs w:val="20"/>
          <w:lang w:val="ru-RU"/>
        </w:rPr>
      </w:pPr>
    </w:p>
    <w:p w:rsidR="00BA7A83" w:rsidRPr="009C4164" w:rsidRDefault="009C4164">
      <w:pPr>
        <w:rPr>
          <w:sz w:val="20"/>
          <w:szCs w:val="20"/>
          <w:lang w:val="ru-RU"/>
        </w:rPr>
      </w:pPr>
      <w:r w:rsidRPr="009C4164">
        <w:rPr>
          <w:sz w:val="20"/>
          <w:szCs w:val="20"/>
          <w:lang w:val="ru-RU"/>
        </w:rPr>
        <w:t xml:space="preserve">Титаев, Кирилл. </w:t>
      </w:r>
      <w:r w:rsidRPr="009C4164">
        <w:rPr>
          <w:i/>
          <w:sz w:val="20"/>
          <w:szCs w:val="20"/>
          <w:lang w:val="ru-RU"/>
        </w:rPr>
        <w:t>“Нормы и практика в уголовной политике: разрывы и дисбалансы”.</w:t>
      </w:r>
      <w:r w:rsidRPr="009C4164">
        <w:rPr>
          <w:sz w:val="20"/>
          <w:szCs w:val="20"/>
          <w:lang w:val="ru-RU"/>
        </w:rPr>
        <w:t xml:space="preserve"> Институт проблем правоприменения при Европейском университете </w:t>
      </w:r>
      <w:r w:rsidRPr="009C4164">
        <w:rPr>
          <w:sz w:val="20"/>
          <w:szCs w:val="20"/>
          <w:lang w:val="ru-RU"/>
        </w:rPr>
        <w:t xml:space="preserve">в Санкт-Петербурге. </w:t>
      </w:r>
      <w:proofErr w:type="gramStart"/>
      <w:r w:rsidRPr="009C4164">
        <w:rPr>
          <w:sz w:val="20"/>
          <w:szCs w:val="20"/>
          <w:lang w:val="ru-RU"/>
        </w:rPr>
        <w:t xml:space="preserve">(Аналитические обзоры по проблемам правоприменения; вып. 2. (2020): 15 с. </w:t>
      </w:r>
      <w:proofErr w:type="gramEnd"/>
    </w:p>
    <w:p w:rsidR="00BA7A83" w:rsidRPr="009C4164" w:rsidRDefault="00BA7A83">
      <w:pPr>
        <w:rPr>
          <w:sz w:val="20"/>
          <w:szCs w:val="20"/>
          <w:lang w:val="ru-RU"/>
        </w:rPr>
      </w:pPr>
    </w:p>
    <w:p w:rsidR="00BA7A83" w:rsidRPr="009C4164" w:rsidRDefault="009C4164">
      <w:pPr>
        <w:rPr>
          <w:sz w:val="20"/>
          <w:szCs w:val="20"/>
          <w:lang w:val="ru-RU"/>
        </w:rPr>
      </w:pPr>
      <w:r w:rsidRPr="009C4164">
        <w:rPr>
          <w:sz w:val="20"/>
          <w:szCs w:val="20"/>
          <w:lang w:val="ru-RU"/>
        </w:rPr>
        <w:t xml:space="preserve">Фулей, Т. </w:t>
      </w:r>
      <w:r w:rsidRPr="009C4164">
        <w:rPr>
          <w:i/>
          <w:sz w:val="20"/>
          <w:szCs w:val="20"/>
          <w:lang w:val="ru-RU"/>
        </w:rPr>
        <w:t>“Ґендерний склад суддівського корпусу України”</w:t>
      </w:r>
      <w:r w:rsidRPr="009C4164">
        <w:rPr>
          <w:sz w:val="20"/>
          <w:szCs w:val="20"/>
          <w:lang w:val="ru-RU"/>
        </w:rPr>
        <w:t xml:space="preserve">. Вісник </w:t>
      </w:r>
      <w:proofErr w:type="gramStart"/>
      <w:r w:rsidRPr="009C4164">
        <w:rPr>
          <w:sz w:val="20"/>
          <w:szCs w:val="20"/>
          <w:lang w:val="ru-RU"/>
        </w:rPr>
        <w:t>Верховного</w:t>
      </w:r>
      <w:proofErr w:type="gramEnd"/>
      <w:r w:rsidRPr="009C4164">
        <w:rPr>
          <w:sz w:val="20"/>
          <w:szCs w:val="20"/>
          <w:lang w:val="ru-RU"/>
        </w:rPr>
        <w:t xml:space="preserve"> Суду України №4(176) . (2015): 41-47.</w:t>
      </w:r>
    </w:p>
    <w:p w:rsidR="00BA7A83" w:rsidRPr="009C4164" w:rsidRDefault="00BA7A83">
      <w:pPr>
        <w:rPr>
          <w:sz w:val="20"/>
          <w:szCs w:val="20"/>
          <w:lang w:val="ru-RU"/>
        </w:rPr>
      </w:pPr>
    </w:p>
    <w:p w:rsidR="00BA7A83" w:rsidRDefault="009C4164">
      <w:pPr>
        <w:rPr>
          <w:sz w:val="20"/>
          <w:szCs w:val="20"/>
        </w:rPr>
      </w:pPr>
      <w:r w:rsidRPr="009C4164">
        <w:rPr>
          <w:sz w:val="20"/>
          <w:szCs w:val="20"/>
          <w:lang w:val="ru-RU"/>
        </w:rPr>
        <w:t xml:space="preserve">Чигрин, Алла та Суслова, Олена. </w:t>
      </w:r>
      <w:r w:rsidRPr="009C4164">
        <w:rPr>
          <w:i/>
          <w:sz w:val="20"/>
          <w:szCs w:val="20"/>
          <w:lang w:val="ru-RU"/>
        </w:rPr>
        <w:t xml:space="preserve">“Впровадження ґендерних </w:t>
      </w:r>
      <w:proofErr w:type="gramStart"/>
      <w:r w:rsidRPr="009C4164">
        <w:rPr>
          <w:i/>
          <w:sz w:val="20"/>
          <w:szCs w:val="20"/>
          <w:lang w:val="ru-RU"/>
        </w:rPr>
        <w:t>п</w:t>
      </w:r>
      <w:proofErr w:type="gramEnd"/>
      <w:r w:rsidRPr="009C4164">
        <w:rPr>
          <w:i/>
          <w:sz w:val="20"/>
          <w:szCs w:val="20"/>
          <w:lang w:val="ru-RU"/>
        </w:rPr>
        <w:t xml:space="preserve">ідходів у систему виконання покарань: практика реалізації. </w:t>
      </w:r>
      <w:r>
        <w:rPr>
          <w:i/>
          <w:sz w:val="20"/>
          <w:szCs w:val="20"/>
        </w:rPr>
        <w:t>Частина І.”</w:t>
      </w:r>
      <w:r>
        <w:rPr>
          <w:sz w:val="20"/>
          <w:szCs w:val="20"/>
        </w:rPr>
        <w:t>. Зоря. (2010): 62 с.</w:t>
      </w:r>
    </w:p>
    <w:p w:rsidR="00BA7A83" w:rsidRDefault="00BA7A83">
      <w:pPr>
        <w:jc w:val="both"/>
        <w:rPr>
          <w:sz w:val="20"/>
          <w:szCs w:val="20"/>
          <w:highlight w:val="white"/>
        </w:rPr>
      </w:pPr>
    </w:p>
    <w:sectPr w:rsidR="00BA7A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BA7A83"/>
    <w:rsid w:val="009C4164"/>
    <w:rsid w:val="00BA7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force.spb.ru/chronicle/comments-in-the-media/6745-the-villag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ukrprison.org.ua/news/1545999995?fbclid=IwAR3yspxEvuk2zu5c-frYZSzirv8C6z_GTDs1P3KbBRv0WVks8Ukye762KV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h.org.ua/wp-content/uploads/2019/06/Otsinka-chiselnosti_32200.pdf" TargetMode="External"/><Relationship Id="rId1" Type="http://schemas.openxmlformats.org/officeDocument/2006/relationships/customXml" Target="../customXml/item1.xml"/><Relationship Id="rId6" Type="http://schemas.openxmlformats.org/officeDocument/2006/relationships/hyperlink" Target="https://www.prisonstudies.org/news/world-female-imprisonment-list-fourth-edition" TargetMode="External"/><Relationship Id="rId11" Type="http://schemas.openxmlformats.org/officeDocument/2006/relationships/hyperlink" Target="https://www.thetimes.co.uk/article/women-must-face-the-same-justice-as-men-xcmcx7d5j" TargetMode="External"/><Relationship Id="rId5" Type="http://schemas.openxmlformats.org/officeDocument/2006/relationships/webSettings" Target="webSettings.xml"/><Relationship Id="rId15" Type="http://schemas.openxmlformats.org/officeDocument/2006/relationships/hyperlink" Target="http://aph.org.ua/wp-content/uploads/2018/07/OSNOVNI-REZULTATI__A4__03.02.2020__Cajt.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plan.org.ua/analytics/prava-ta-mozhlyvosti-zhinok-zainiatykh-u-sferi-bezpe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Volume>Vol. 13(3) 260–286</b:Volume>
    <b:Year>2018</b:Year>
    <b:SourceType>JournalArticle</b:SourceType>
    <b:Title>“They Can’t Search Her”: How Gender Imbalances in the Police Force Contribute to Perceptions of Procedural Unfairness</b:Title>
    <b:JournalName>Feminist Criminology</b:JournalName>
    <b:Gdcea>{"AccessedType":"Print"}</b:Gdcea>
    <b:Author>
      <b:Author>
        <b:NameList>
          <b:Person>
            <b:First>Madeleine</b:First>
            <b:Last>Novich</b:Last>
          </b:Person>
          <b:Person>
            <b:First>Anne</b:First>
            <b:Middle>Li</b:Middle>
            <b:Last>Kringen</b:Last>
          </b:Person>
          <b:Person>
            <b:First>Geoffrey</b:First>
            <b:Last>Hunt</b:Last>
          </b:Person>
        </b:NameList>
      </b:Author>
    </b:Author>
  </b:Source>
</b:Sources>
</file>

<file path=customXml/itemProps1.xml><?xml version="1.0" encoding="utf-8"?>
<ds:datastoreItem xmlns:ds="http://schemas.openxmlformats.org/officeDocument/2006/customXml" ds:itemID="{36D29F5E-7F9E-4D12-9043-938CC1E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26022</Words>
  <Characters>14833</Characters>
  <Application>Microsoft Office Word</Application>
  <DocSecurity>0</DocSecurity>
  <Lines>123</Lines>
  <Paragraphs>81</Paragraphs>
  <ScaleCrop>false</ScaleCrop>
  <Company>SPecialiST RePack</Company>
  <LinksUpToDate>false</LinksUpToDate>
  <CharactersWithSpaces>40774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MV</cp:lastModifiedBy>
  <cp:revision>2</cp:revision>
  <dcterms:created xsi:type="dcterms:W3CDTF">2020-12-15T18:05:00Z</dcterms:created>
  <dcterms:modified xsi:type="dcterms:W3CDTF">2020-12-15T18:07:00Z</dcterms:modified>
</cp:coreProperties>
</file>